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עידו דרויאן-גמליאל</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C629AD" w:rsidRDefault="00D36F52" w:rsidP="00160B63">
            <w:pPr>
              <w:suppressLineNumbers/>
              <w:rPr>
                <w:rFonts w:ascii="Arial" w:hAnsi="Arial"/>
                <w:b/>
                <w:bCs/>
                <w:noProof w:val="0"/>
                <w:sz w:val="26"/>
                <w:szCs w:val="26"/>
                <w:rtl/>
              </w:rPr>
            </w:pPr>
            <w:r>
              <w:rPr>
                <w:rFonts w:ascii="Arial" w:hAnsi="Arial"/>
                <w:b/>
                <w:bCs/>
                <w:noProof w:val="0"/>
                <w:sz w:val="26"/>
                <w:szCs w:val="26"/>
                <w:rtl/>
              </w:rPr>
              <w:t>מערער</w:t>
            </w:r>
            <w:r w:rsidR="00160B63">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94424E" w:rsidRDefault="007C2453" w:rsidP="00160B63">
            <w:pPr>
              <w:suppressLineNumbers/>
              <w:rPr>
                <w:b/>
                <w:bCs/>
                <w:noProof w:val="0"/>
                <w:sz w:val="26"/>
                <w:szCs w:val="26"/>
              </w:rPr>
            </w:pPr>
            <w:r w:rsidRPr="007C2453">
              <w:rPr>
                <w:rFonts w:ascii="Arial" w:hAnsi="Arial" w:hint="cs"/>
                <w:b/>
                <w:bCs/>
                <w:noProof w:val="0"/>
                <w:sz w:val="26"/>
                <w:szCs w:val="26"/>
                <w:rtl/>
              </w:rPr>
              <w:t xml:space="preserve"> </w:t>
            </w:r>
            <w:r w:rsidR="00B859C5">
              <w:rPr>
                <w:rFonts w:ascii="Arial" w:hAnsi="Arial"/>
                <w:b/>
                <w:bCs/>
                <w:noProof w:val="0"/>
                <w:sz w:val="26"/>
                <w:szCs w:val="26"/>
                <w:rtl/>
              </w:rPr>
              <w:t xml:space="preserve">ועדה מקומית לתיכנון ובניה </w:t>
            </w:r>
            <w:r w:rsidR="00160B63">
              <w:rPr>
                <w:rFonts w:ascii="Arial" w:hAnsi="Arial"/>
                <w:b/>
                <w:bCs/>
                <w:noProof w:val="0"/>
                <w:sz w:val="26"/>
                <w:szCs w:val="26"/>
                <w:rtl/>
              </w:rPr>
              <w:t>–</w:t>
            </w:r>
            <w:r w:rsidR="00B859C5">
              <w:rPr>
                <w:rFonts w:ascii="Arial" w:hAnsi="Arial"/>
                <w:b/>
                <w:bCs/>
                <w:noProof w:val="0"/>
                <w:sz w:val="26"/>
                <w:szCs w:val="26"/>
                <w:rtl/>
              </w:rPr>
              <w:t xml:space="preserve"> נתניה</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B859C5" w:rsidP="009E461A">
            <w:pPr>
              <w:suppressLineNumbers/>
              <w:rPr>
                <w:rFonts w:ascii="Arial" w:hAnsi="Arial"/>
                <w:b/>
                <w:bCs/>
                <w:noProof w:val="0"/>
                <w:sz w:val="26"/>
                <w:szCs w:val="26"/>
              </w:rPr>
            </w:pPr>
            <w:r>
              <w:rPr>
                <w:rFonts w:ascii="Arial" w:hAnsi="Arial"/>
                <w:b/>
                <w:bCs/>
                <w:noProof w:val="0"/>
                <w:sz w:val="26"/>
                <w:szCs w:val="26"/>
                <w:rtl/>
              </w:rPr>
              <w:t>משיבים</w:t>
            </w:r>
          </w:p>
        </w:tc>
        <w:tc>
          <w:tcPr>
            <w:tcW w:w="5571" w:type="dxa"/>
          </w:tcPr>
          <w:p w:rsidR="00CF6BB7" w:rsidRPr="009E461A" w:rsidRDefault="00B859C5" w:rsidP="00160B63">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יעקב ברכה</w:t>
            </w:r>
            <w:r>
              <w:rPr>
                <w:rFonts w:hint="cs"/>
                <w:rtl/>
              </w:rPr>
              <w:t xml:space="preserve"> </w:t>
            </w:r>
          </w:p>
          <w:p w:rsidR="00CF6BB7" w:rsidRPr="009E461A" w:rsidRDefault="00B859C5" w:rsidP="00160B63">
            <w:pPr>
              <w:suppressLineNumbers/>
              <w:rPr>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אסתר ברכה</w:t>
            </w:r>
            <w:r>
              <w:rPr>
                <w:rFonts w:hint="cs"/>
                <w:rtl/>
              </w:rPr>
              <w:t xml:space="preserve"> </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160B63" w:rsidP="00D44968">
            <w:pPr>
              <w:suppressLineNumbers/>
              <w:rPr>
                <w:rtl/>
              </w:rPr>
            </w:pPr>
            <w:r>
              <w:rPr>
                <w:rFonts w:hint="cs"/>
                <w:rtl/>
              </w:rPr>
              <w:t xml:space="preserve">ב"כ המערערת </w:t>
            </w:r>
            <w:r>
              <w:rPr>
                <w:rtl/>
              </w:rPr>
              <w:t>–</w:t>
            </w:r>
            <w:r>
              <w:rPr>
                <w:rFonts w:hint="cs"/>
                <w:rtl/>
              </w:rPr>
              <w:t xml:space="preserve"> עו"ד יהונתן גור וקרן מזרחי גורן</w:t>
            </w:r>
          </w:p>
          <w:p w:rsidR="00160B63" w:rsidRDefault="00160B63" w:rsidP="00D44968">
            <w:pPr>
              <w:suppressLineNumbers/>
              <w:rPr>
                <w:rtl/>
              </w:rPr>
            </w:pPr>
            <w:r>
              <w:rPr>
                <w:rFonts w:hint="cs"/>
                <w:rtl/>
              </w:rPr>
              <w:t>ב"כ המשיבים -  עו"ד אורטל שמואל</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C629AD" w:rsidRDefault="00C629AD">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F54B84" w:rsidRPr="00D82A57" w:rsidRDefault="00F54B84" w:rsidP="00D82A57">
      <w:pPr>
        <w:spacing w:after="240" w:line="360" w:lineRule="auto"/>
        <w:ind w:left="8"/>
        <w:jc w:val="both"/>
        <w:rPr>
          <w:rFonts w:ascii="David" w:hAnsi="David"/>
          <w:rtl/>
        </w:rPr>
      </w:pPr>
      <w:bookmarkStart w:id="1" w:name="NGCSBookmark"/>
      <w:bookmarkEnd w:id="1"/>
      <w:r w:rsidRPr="00D82A57">
        <w:rPr>
          <w:rFonts w:ascii="David" w:hAnsi="David"/>
          <w:b/>
          <w:bCs/>
          <w:u w:val="single"/>
          <w:rtl/>
        </w:rPr>
        <w:t>מהות הערעור</w:t>
      </w:r>
      <w:r w:rsidRPr="00D82A57">
        <w:rPr>
          <w:rFonts w:ascii="David" w:hAnsi="David"/>
          <w:rtl/>
        </w:rPr>
        <w:t>:</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לפני ערעור המדינה על קולת העונשים שהוטלו על שני המשיבים, בגזר דין שניתן ביום 18.12.22 בתו"ב 52115-10-20 בבית המשפט לעניינים מקומיים בנתניה (כב' השופטת אופיר כתבי-ריבלין), בהליך שתחילתו בקנס מנהלי.</w:t>
      </w:r>
    </w:p>
    <w:p w:rsidR="00F54B84" w:rsidRPr="00D82A57" w:rsidRDefault="00F54B84" w:rsidP="00D82A57">
      <w:pPr>
        <w:pStyle w:val="ad"/>
        <w:numPr>
          <w:ilvl w:val="0"/>
          <w:numId w:val="1"/>
        </w:numPr>
        <w:spacing w:after="240" w:line="360" w:lineRule="auto"/>
        <w:ind w:left="368"/>
        <w:contextualSpacing w:val="0"/>
        <w:jc w:val="both"/>
        <w:rPr>
          <w:rFonts w:ascii="David" w:hAnsi="David"/>
          <w:rtl/>
        </w:rPr>
      </w:pPr>
      <w:r w:rsidRPr="00D82A57">
        <w:rPr>
          <w:rFonts w:ascii="David" w:hAnsi="David"/>
          <w:rtl/>
        </w:rPr>
        <w:t>המשיבים</w:t>
      </w:r>
      <w:r w:rsidR="00D82A57">
        <w:rPr>
          <w:rFonts w:ascii="David" w:hAnsi="David" w:hint="cs"/>
          <w:rtl/>
        </w:rPr>
        <w:t>, זוג נשוי,</w:t>
      </w:r>
      <w:r w:rsidRPr="00D82A57">
        <w:rPr>
          <w:rFonts w:ascii="David" w:hAnsi="David"/>
          <w:rtl/>
        </w:rPr>
        <w:t xml:space="preserve"> הם הבעלים והמשתמשים בפועל של דירת דופלקס בקומות ראשונה ושניה בבית מגורים משותף בגוש 8267 חלקה 683 ברח' רזיאל 51 בנתניה. </w:t>
      </w:r>
      <w:r w:rsidR="00D82A57">
        <w:rPr>
          <w:rFonts w:ascii="David" w:hAnsi="David" w:hint="cs"/>
          <w:rtl/>
        </w:rPr>
        <w:t xml:space="preserve">עקב פיצולה של הדירה לשתי דירות נפרדות, </w:t>
      </w:r>
      <w:r w:rsidRPr="00D82A57">
        <w:rPr>
          <w:rFonts w:ascii="David" w:hAnsi="David"/>
          <w:rtl/>
        </w:rPr>
        <w:t>הו</w:t>
      </w:r>
      <w:r w:rsidR="00D82A57">
        <w:rPr>
          <w:rFonts w:ascii="David" w:hAnsi="David" w:hint="cs"/>
          <w:rtl/>
        </w:rPr>
        <w:t>אשמו</w:t>
      </w:r>
      <w:r w:rsidRPr="00D82A57">
        <w:rPr>
          <w:rFonts w:ascii="David" w:hAnsi="David"/>
          <w:rtl/>
        </w:rPr>
        <w:t xml:space="preserve"> </w:t>
      </w:r>
      <w:r w:rsidR="00D82A57">
        <w:rPr>
          <w:rFonts w:ascii="David" w:hAnsi="David" w:hint="cs"/>
          <w:rtl/>
        </w:rPr>
        <w:t xml:space="preserve">המשיבים ובהמשך הורשעו </w:t>
      </w:r>
      <w:r w:rsidRPr="00D82A57">
        <w:rPr>
          <w:rFonts w:ascii="David" w:hAnsi="David"/>
          <w:rtl/>
        </w:rPr>
        <w:t>לפי הודאתם</w:t>
      </w:r>
      <w:r w:rsidR="00D82A57">
        <w:rPr>
          <w:rFonts w:ascii="David" w:hAnsi="David" w:hint="cs"/>
          <w:rtl/>
        </w:rPr>
        <w:t>,</w:t>
      </w:r>
      <w:r w:rsidRPr="00D82A57">
        <w:rPr>
          <w:rFonts w:ascii="David" w:hAnsi="David"/>
          <w:rtl/>
        </w:rPr>
        <w:t xml:space="preserve"> בביצוע עבירה של </w:t>
      </w:r>
      <w:r w:rsidRPr="00D82A57">
        <w:rPr>
          <w:rFonts w:ascii="David" w:hAnsi="David"/>
          <w:b/>
          <w:bCs/>
          <w:rtl/>
        </w:rPr>
        <w:t>שימוש אסור במקרקעין</w:t>
      </w:r>
      <w:r w:rsidRPr="00D82A57">
        <w:rPr>
          <w:rFonts w:ascii="David" w:hAnsi="David"/>
          <w:rtl/>
        </w:rPr>
        <w:t xml:space="preserve"> לפי סעיף 243(ה) יחד עם 243(ו)(3)(4(ו-(5) לחוק התכנון והבנייה, התשכ"ה-1965 </w:t>
      </w:r>
      <w:r w:rsidR="00384292">
        <w:rPr>
          <w:rFonts w:ascii="David" w:hAnsi="David"/>
          <w:rtl/>
        </w:rPr>
        <w:t>[</w:t>
      </w:r>
      <w:r w:rsidRPr="00D82A57">
        <w:rPr>
          <w:rFonts w:ascii="David" w:hAnsi="David"/>
          <w:rtl/>
        </w:rPr>
        <w:t>להלן – החוק</w:t>
      </w:r>
      <w:r w:rsidR="00384292">
        <w:rPr>
          <w:rFonts w:ascii="David" w:hAnsi="David"/>
          <w:rtl/>
        </w:rPr>
        <w:t>]</w:t>
      </w:r>
      <w:r w:rsidRPr="00D82A57">
        <w:rPr>
          <w:rFonts w:ascii="David" w:hAnsi="David"/>
          <w:rtl/>
        </w:rPr>
        <w:t>.</w:t>
      </w:r>
    </w:p>
    <w:p w:rsidR="00F54B84" w:rsidRPr="00D82A57" w:rsidRDefault="00F54B84" w:rsidP="00D82A57">
      <w:pPr>
        <w:pStyle w:val="ad"/>
        <w:numPr>
          <w:ilvl w:val="0"/>
          <w:numId w:val="1"/>
        </w:numPr>
        <w:spacing w:after="240" w:line="360" w:lineRule="auto"/>
        <w:ind w:left="368"/>
        <w:contextualSpacing w:val="0"/>
        <w:jc w:val="both"/>
        <w:rPr>
          <w:rFonts w:ascii="David" w:hAnsi="David"/>
          <w:noProof w:val="0"/>
          <w:rtl/>
        </w:rPr>
      </w:pPr>
      <w:r w:rsidRPr="00D82A57">
        <w:rPr>
          <w:rFonts w:ascii="David" w:hAnsi="David"/>
          <w:rtl/>
        </w:rPr>
        <w:t xml:space="preserve">בית משפט קמא הטיל על המשיבים </w:t>
      </w:r>
      <w:r w:rsidRPr="00D82A57">
        <w:rPr>
          <w:rFonts w:ascii="David" w:hAnsi="David"/>
          <w:noProof w:val="0"/>
          <w:rtl/>
        </w:rPr>
        <w:t xml:space="preserve">קנס כולל בסך 13,000 ₪ (6,500 ₪ לכל אחד מהמשיבים), שישולם ב-13 תשלומים, וכן התחייבות להימנע מהעבירה בה הורשעו. עוד הוטל צו הפסקה לשימוש חורג וצו התאמה להיתר, אשר יכנסו לתוקפם תוך שנה מיום גזר הדין, ככל ולא יהיה בידי המשיבים היתרים כדין. </w:t>
      </w:r>
    </w:p>
    <w:p w:rsidR="00F54B84" w:rsidRPr="00D82A57" w:rsidRDefault="00F54B84" w:rsidP="00D82A57">
      <w:pPr>
        <w:spacing w:after="240" w:line="360" w:lineRule="auto"/>
        <w:jc w:val="both"/>
        <w:rPr>
          <w:rFonts w:ascii="David" w:hAnsi="David"/>
          <w:b/>
          <w:bCs/>
        </w:rPr>
      </w:pPr>
      <w:r w:rsidRPr="00D82A57">
        <w:rPr>
          <w:rFonts w:ascii="David" w:hAnsi="David"/>
          <w:b/>
          <w:bCs/>
          <w:u w:val="single"/>
          <w:rtl/>
        </w:rPr>
        <w:t>השתלשלות העניינים</w:t>
      </w:r>
      <w:r w:rsidRPr="00D82A57">
        <w:rPr>
          <w:rFonts w:ascii="David" w:hAnsi="David"/>
          <w:b/>
          <w:bCs/>
          <w:rtl/>
        </w:rPr>
        <w:t xml:space="preserve">: </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 xml:space="preserve">ביום 10.2.20 נשלחה למשיבים אזהרה לפני נקיטת הליכים, ומשלא שעו לאזהרה, נשלחה אליהם ביום 27.4.20 התראה לפני הטלת קנס מנהלי, לפיה עליהם להסיר לאלתר את השימוש </w:t>
      </w:r>
      <w:r w:rsidRPr="00D82A57">
        <w:rPr>
          <w:rFonts w:ascii="David" w:hAnsi="David"/>
          <w:rtl/>
        </w:rPr>
        <w:lastRenderedPageBreak/>
        <w:t xml:space="preserve">האסור ולכל המאוחר תוך 30 ימים. שלב ההתראה עוכב לבקשת המשיבים שטענו כי הם זקוקים לפרק זמן נוסף להפסקת השימוש, אך הם לא הפסיקו את השימוש. </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ביום 18.8.20 הוטלו על על כל משיב קנס מנהלי קצוב, לפי סעיף 8 לחוק העבירות המנהליות, תשמ"ו-1985, שסכומו 25,000 ₪, לפי תקנה 2(א)(1) בצירוף תקנה 3 ופרט 4 לתוספת</w:t>
      </w:r>
      <w:r w:rsidR="00C46403">
        <w:rPr>
          <w:rFonts w:ascii="David" w:hAnsi="David" w:hint="cs"/>
          <w:rtl/>
        </w:rPr>
        <w:t>,</w:t>
      </w:r>
      <w:r w:rsidRPr="00D82A57">
        <w:rPr>
          <w:rFonts w:ascii="David" w:hAnsi="David"/>
          <w:rtl/>
        </w:rPr>
        <w:t xml:space="preserve"> לתקנות העבירות המינהליות (קנס מינהלי – תכנון ובנייה), תשע"ח-2018.</w:t>
      </w:r>
    </w:p>
    <w:p w:rsidR="00F54B84" w:rsidRPr="00D82A57" w:rsidRDefault="00F54B84" w:rsidP="00D82A57">
      <w:pPr>
        <w:pStyle w:val="ad"/>
        <w:numPr>
          <w:ilvl w:val="0"/>
          <w:numId w:val="1"/>
        </w:numPr>
        <w:spacing w:after="240" w:line="360" w:lineRule="auto"/>
        <w:ind w:left="368"/>
        <w:contextualSpacing w:val="0"/>
        <w:jc w:val="both"/>
        <w:rPr>
          <w:rFonts w:ascii="David" w:hAnsi="David"/>
          <w:b/>
          <w:bCs/>
        </w:rPr>
      </w:pPr>
      <w:r w:rsidRPr="00D82A57">
        <w:rPr>
          <w:rFonts w:ascii="David" w:hAnsi="David"/>
          <w:rtl/>
        </w:rPr>
        <w:t>ביום 20.10.20 ביקשו המשיבים להישפט וביום 26.10.20 הוגש בעניינם  כתב אישום, לפיו עברו עבירה של שימוש אסור במקרקעין, כמובא לעיל, בגין עובדות אלה:</w:t>
      </w:r>
    </w:p>
    <w:p w:rsidR="00F54B84" w:rsidRPr="00D82A57" w:rsidRDefault="00F54B84" w:rsidP="00D82A57">
      <w:pPr>
        <w:pStyle w:val="ad"/>
        <w:numPr>
          <w:ilvl w:val="0"/>
          <w:numId w:val="2"/>
        </w:numPr>
        <w:spacing w:after="240" w:line="360" w:lineRule="auto"/>
        <w:contextualSpacing w:val="0"/>
        <w:jc w:val="both"/>
        <w:rPr>
          <w:rFonts w:ascii="David" w:hAnsi="David"/>
          <w:noProof w:val="0"/>
        </w:rPr>
      </w:pPr>
      <w:r w:rsidRPr="00D82A57">
        <w:rPr>
          <w:rFonts w:ascii="David" w:hAnsi="David"/>
          <w:noProof w:val="0"/>
          <w:rtl/>
        </w:rPr>
        <w:t>במקרקעין הנ"ל הוקם בית מגורים משותף שהותר לבניה. המשיבים מוחזקים כבעלים והמשתמשים בפועל במקרקעין, בעלי השליטה בהם ובדירה, האחראים על השימוש האסור ומי שמוטלת עליהם החובה להשיג היתר מכוח החוק או התקנות.</w:t>
      </w:r>
      <w:r w:rsidRPr="00D82A57">
        <w:rPr>
          <w:rFonts w:ascii="David" w:hAnsi="David"/>
          <w:b/>
          <w:bCs/>
          <w:rtl/>
        </w:rPr>
        <w:t xml:space="preserve"> </w:t>
      </w:r>
      <w:r w:rsidRPr="00D82A57">
        <w:rPr>
          <w:rFonts w:ascii="David" w:hAnsi="David"/>
          <w:noProof w:val="0"/>
          <w:rtl/>
        </w:rPr>
        <w:t>על פי ההיתר, בדירה שתי קומות מחוברות - בקומה השנ</w:t>
      </w:r>
      <w:r w:rsidR="00243403">
        <w:rPr>
          <w:rFonts w:ascii="David" w:hAnsi="David" w:hint="cs"/>
          <w:noProof w:val="0"/>
          <w:rtl/>
        </w:rPr>
        <w:t>י</w:t>
      </w:r>
      <w:r w:rsidRPr="00D82A57">
        <w:rPr>
          <w:rFonts w:ascii="David" w:hAnsi="David"/>
          <w:noProof w:val="0"/>
          <w:rtl/>
        </w:rPr>
        <w:t xml:space="preserve">יה קומת מגורים וחדר מגורים אחד נוסף בקומה הראשונה; </w:t>
      </w:r>
    </w:p>
    <w:p w:rsidR="00F54B84" w:rsidRPr="00D82A57" w:rsidRDefault="00F54B84" w:rsidP="00D82A57">
      <w:pPr>
        <w:pStyle w:val="ad"/>
        <w:numPr>
          <w:ilvl w:val="0"/>
          <w:numId w:val="2"/>
        </w:numPr>
        <w:spacing w:after="240" w:line="360" w:lineRule="auto"/>
        <w:contextualSpacing w:val="0"/>
        <w:jc w:val="both"/>
        <w:rPr>
          <w:rFonts w:ascii="David" w:hAnsi="David"/>
        </w:rPr>
      </w:pPr>
      <w:r w:rsidRPr="00D82A57">
        <w:rPr>
          <w:rFonts w:ascii="David" w:hAnsi="David"/>
          <w:noProof w:val="0"/>
          <w:rtl/>
        </w:rPr>
        <w:t xml:space="preserve">החל מחודש פברואר 2020 לכל הפחות, המשיבים, או מי מטעמם, עושים שימוש בדירה, ללא היתר ובניגוד להיתר, באמצעות פיצול </w:t>
      </w:r>
      <w:r w:rsidRPr="00D82A57">
        <w:rPr>
          <w:rFonts w:ascii="David" w:hAnsi="David"/>
          <w:rtl/>
        </w:rPr>
        <w:t>והתאמת הדירה לשתי יחידות דיור עצמאיות ונפרדות. הפיצול נעשה בין היתר על ידי פירוק מדרגות פנימיות המחברות בין שתי הקומות, סגירת התקרה בין שתי הקומות, הרכבת מטבח, הצמדת שני מחסנים בקומה התחתונה, ופתיחת דלת בחלל בקומה הראשונה, שאמור להיות חלל סגור;</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ביום 22.5.22 הודו הנאשמים בכתב האישום והורשעו, ביום 20.11.22 נשמעו הטיעונים לעונש והוגשו מוצגים, וגזר הדין ניתן ביום 18.12.22.</w:t>
      </w:r>
    </w:p>
    <w:p w:rsidR="004E5522" w:rsidRPr="00D82A57" w:rsidRDefault="004E5522" w:rsidP="00992A12">
      <w:pPr>
        <w:pStyle w:val="ad"/>
        <w:numPr>
          <w:ilvl w:val="0"/>
          <w:numId w:val="1"/>
        </w:numPr>
        <w:spacing w:after="240" w:line="360" w:lineRule="auto"/>
        <w:ind w:left="368"/>
        <w:contextualSpacing w:val="0"/>
        <w:jc w:val="both"/>
        <w:rPr>
          <w:rFonts w:ascii="David" w:hAnsi="David"/>
          <w:b/>
          <w:bCs/>
          <w:u w:val="single"/>
          <w:rtl/>
        </w:rPr>
      </w:pPr>
      <w:r w:rsidRPr="00D82A57">
        <w:rPr>
          <w:rFonts w:ascii="David" w:hAnsi="David"/>
          <w:rtl/>
        </w:rPr>
        <w:t xml:space="preserve">בטיעוניהם לעונש </w:t>
      </w:r>
      <w:r w:rsidR="00992A12">
        <w:rPr>
          <w:rFonts w:ascii="David" w:hAnsi="David" w:hint="cs"/>
          <w:rtl/>
        </w:rPr>
        <w:t>ט</w:t>
      </w:r>
      <w:r w:rsidR="00243403">
        <w:rPr>
          <w:rFonts w:ascii="David" w:hAnsi="David" w:hint="cs"/>
          <w:rtl/>
        </w:rPr>
        <w:t>ענו</w:t>
      </w:r>
      <w:r w:rsidR="00243403">
        <w:rPr>
          <w:rFonts w:ascii="David" w:hAnsi="David"/>
          <w:rtl/>
        </w:rPr>
        <w:t xml:space="preserve"> המשיבים</w:t>
      </w:r>
      <w:r w:rsidR="00243403">
        <w:rPr>
          <w:rFonts w:ascii="David" w:hAnsi="David" w:hint="cs"/>
          <w:rtl/>
        </w:rPr>
        <w:t xml:space="preserve"> בדבר</w:t>
      </w:r>
      <w:r w:rsidRPr="00D82A57">
        <w:rPr>
          <w:rFonts w:ascii="David" w:hAnsi="David"/>
          <w:rtl/>
        </w:rPr>
        <w:t xml:space="preserve"> נסיבות רכישתה של הדירה: המשיבים רכשו את הדירה בשנת 2009 מאת חברה קבלנית בשם א.ד. רון בע"מ, במחיר של 1,445,000 שהיה מחיר גבוה ב-400,000 ₪ מדירת מגורים אחרת בבניין, זאת בשל תוספת יחידת דיור, אותה שיווק הקבלן כדירת מגורים נוספת. המשיבים עצמם לא ערכו שינוי תכנוני בדירה או שיפוץ מאז רכישתה. למעשה, עד למועד קבלת מכתב העירייה, לא </w:t>
      </w:r>
      <w:r w:rsidR="00C46403">
        <w:rPr>
          <w:rFonts w:ascii="David" w:hAnsi="David"/>
          <w:rtl/>
        </w:rPr>
        <w:t>ידעו כי הדירה חסרה היתר כדין. י</w:t>
      </w:r>
      <w:r w:rsidRPr="00D82A57">
        <w:rPr>
          <w:rFonts w:ascii="David" w:hAnsi="David"/>
          <w:rtl/>
        </w:rPr>
        <w:t xml:space="preserve">תרה מכך, המשיבים שילמו ארנונה לעיריית נתניה בגין שתי דירות מגורים. המערערת מתעלמת מאחריותה, עת לא פעלה שנים רבות מול החברה הקבלנית ואף הנפיקה עבורה טופס 4 ואישור העברה לטאבו, אשר יש בהם בכדי להטעות את האזרח התמים, אשר טועה לחשוב כי טופס 4, כמקובל בציבור, הינו חזות הכל ושומה על המערערת כי טרם שהנפיקה טופס זה ערכה את בדיקותיה במלואן. מעשיה של המערערת עצמה תרמו תרומה משמעותית להכשלת המשיבים, אשר רכשו את דירותיהם בתמורה מלאה ובתום לב בסברם שהכל כשורה וכדין. </w:t>
      </w:r>
    </w:p>
    <w:p w:rsidR="00F54B84" w:rsidRPr="00D82A57" w:rsidRDefault="00F54B84" w:rsidP="00D82A57">
      <w:pPr>
        <w:spacing w:after="240" w:line="360" w:lineRule="auto"/>
        <w:ind w:left="8"/>
        <w:jc w:val="both"/>
        <w:rPr>
          <w:rFonts w:ascii="David" w:hAnsi="David"/>
          <w:b/>
          <w:bCs/>
        </w:rPr>
      </w:pPr>
      <w:r w:rsidRPr="00D82A57">
        <w:rPr>
          <w:rFonts w:ascii="David" w:hAnsi="David"/>
          <w:b/>
          <w:bCs/>
          <w:u w:val="single"/>
          <w:rtl/>
        </w:rPr>
        <w:lastRenderedPageBreak/>
        <w:t>עיקרי גזר הדין</w:t>
      </w:r>
      <w:r w:rsidR="00B37E2B" w:rsidRPr="00D82A57">
        <w:rPr>
          <w:rFonts w:ascii="David" w:hAnsi="David"/>
          <w:b/>
          <w:bCs/>
          <w:u w:val="single"/>
          <w:rtl/>
        </w:rPr>
        <w:t>, בשילוב תוספות מטיעוני המשיבים</w:t>
      </w:r>
      <w:r w:rsidRPr="00D82A57">
        <w:rPr>
          <w:rFonts w:ascii="David" w:hAnsi="David"/>
          <w:b/>
          <w:bCs/>
          <w:rtl/>
        </w:rPr>
        <w:t>:</w:t>
      </w:r>
    </w:p>
    <w:p w:rsidR="00F54B84" w:rsidRPr="00D82A57" w:rsidRDefault="00F54B84" w:rsidP="00D82A57">
      <w:pPr>
        <w:pStyle w:val="ad"/>
        <w:numPr>
          <w:ilvl w:val="0"/>
          <w:numId w:val="1"/>
        </w:numPr>
        <w:spacing w:after="240" w:line="360" w:lineRule="auto"/>
        <w:ind w:left="368"/>
        <w:contextualSpacing w:val="0"/>
        <w:jc w:val="both"/>
        <w:rPr>
          <w:rFonts w:ascii="David" w:hAnsi="David"/>
          <w:rtl/>
        </w:rPr>
      </w:pPr>
      <w:r w:rsidRPr="00D82A57">
        <w:rPr>
          <w:rFonts w:ascii="David" w:hAnsi="David"/>
          <w:rtl/>
        </w:rPr>
        <w:t>בית המשפט עמד על הוראת סעיף 14 לחוק העבירות המנהליות, המורה כי הקנס שיוטל על מי שביקש להישפט (חלף תשלום הקנס המנהלי) והורשע, לא יפחת מגובה הקנס המנהלי, אלא בנסיבות מיוחדות ומטעמים שיירשמו.</w:t>
      </w:r>
    </w:p>
    <w:p w:rsidR="00F54B84" w:rsidRPr="00D82A57" w:rsidRDefault="00F54B84" w:rsidP="003B2775">
      <w:pPr>
        <w:pStyle w:val="ad"/>
        <w:numPr>
          <w:ilvl w:val="0"/>
          <w:numId w:val="1"/>
        </w:numPr>
        <w:spacing w:after="240" w:line="360" w:lineRule="auto"/>
        <w:ind w:left="368"/>
        <w:contextualSpacing w:val="0"/>
        <w:jc w:val="both"/>
        <w:rPr>
          <w:rFonts w:ascii="David" w:hAnsi="David"/>
        </w:rPr>
      </w:pPr>
      <w:r w:rsidRPr="00C46403">
        <w:rPr>
          <w:rFonts w:ascii="David" w:hAnsi="David"/>
          <w:rtl/>
        </w:rPr>
        <w:t>בית המשפט הסתמך על פסק הדין שניתן מפי חברתי, כב' השופטת פינק, ב</w:t>
      </w:r>
      <w:r w:rsidRPr="00C46403">
        <w:rPr>
          <w:rFonts w:ascii="David" w:hAnsi="David"/>
          <w:b/>
          <w:bCs/>
          <w:rtl/>
        </w:rPr>
        <w:t>ענין גרין</w:t>
      </w:r>
      <w:r w:rsidRPr="00C46403">
        <w:rPr>
          <w:rFonts w:ascii="David" w:hAnsi="David"/>
          <w:rtl/>
        </w:rPr>
        <w:t xml:space="preserve"> [</w:t>
      </w:r>
      <w:hyperlink r:id="rId8" w:history="1">
        <w:r w:rsidRPr="00C46403">
          <w:rPr>
            <w:rStyle w:val="Hyperlink"/>
            <w:rFonts w:ascii="David" w:hAnsi="David"/>
            <w:color w:val="auto"/>
            <w:u w:val="none"/>
            <w:rtl/>
          </w:rPr>
          <w:t xml:space="preserve">עתפ"ב </w:t>
        </w:r>
        <w:r w:rsidR="003B2775">
          <w:rPr>
            <w:rStyle w:val="Hyperlink"/>
            <w:rFonts w:ascii="David" w:hAnsi="David" w:hint="cs"/>
            <w:color w:val="auto"/>
            <w:u w:val="none"/>
            <w:rtl/>
          </w:rPr>
          <w:t>(</w:t>
        </w:r>
        <w:r w:rsidRPr="00C46403">
          <w:rPr>
            <w:rStyle w:val="Hyperlink"/>
            <w:rFonts w:ascii="David" w:hAnsi="David"/>
            <w:color w:val="auto"/>
            <w:u w:val="none"/>
            <w:rtl/>
          </w:rPr>
          <w:t>מחוזי מרכז) 1253-09-21</w:t>
        </w:r>
      </w:hyperlink>
      <w:r w:rsidRPr="00C46403">
        <w:rPr>
          <w:rFonts w:ascii="David" w:hAnsi="David"/>
          <w:rtl/>
        </w:rPr>
        <w:t xml:space="preserve"> </w:t>
      </w:r>
      <w:r w:rsidRPr="00C46403">
        <w:rPr>
          <w:rFonts w:ascii="David" w:hAnsi="David"/>
          <w:b/>
          <w:bCs/>
          <w:rtl/>
        </w:rPr>
        <w:t>גרין נ' מדינת ישראל</w:t>
      </w:r>
      <w:r w:rsidRPr="00C46403">
        <w:rPr>
          <w:rFonts w:ascii="David" w:hAnsi="David"/>
          <w:rtl/>
        </w:rPr>
        <w:t xml:space="preserve"> </w:t>
      </w:r>
      <w:r w:rsidR="003B2775">
        <w:rPr>
          <w:rFonts w:ascii="David" w:hAnsi="David" w:hint="cs"/>
          <w:rtl/>
        </w:rPr>
        <w:t>(</w:t>
      </w:r>
      <w:r w:rsidRPr="00C46403">
        <w:rPr>
          <w:rFonts w:ascii="David" w:hAnsi="David"/>
          <w:rtl/>
        </w:rPr>
        <w:t xml:space="preserve">27.3.22)] ומצא, כי נסיבות חייהם של המשיבים ובכללן נסיבות ביצועה של העבירה, מקימות את אותן 'נסיבות מיוחדות', המצדיקות </w:t>
      </w:r>
      <w:r w:rsidRPr="00D82A57">
        <w:rPr>
          <w:rFonts w:ascii="David" w:hAnsi="David"/>
          <w:rtl/>
        </w:rPr>
        <w:t xml:space="preserve">הפחתה משיעור הקנס המנהלי. דרך אחרת – דרכו של  תיקון 113 לחוק העונשין, תשל"ז-1977 – היא קביעתו של מתחם עונשי הולם, ובפרט לעניין העיצום הכספי, ומיקום ראוי של הקנס במתחם. בית המשפט מצא כי שתי הדרכים מובילות למסקנה זהה, לפיה </w:t>
      </w:r>
      <w:r w:rsidR="00CB204D" w:rsidRPr="00D82A57">
        <w:rPr>
          <w:rFonts w:ascii="David" w:hAnsi="David"/>
          <w:rtl/>
        </w:rPr>
        <w:t>ראוי שסכום הקנס יהיה נמוך מהקנס המנהלי.</w:t>
      </w:r>
    </w:p>
    <w:p w:rsidR="009C770B" w:rsidRPr="00D82A57" w:rsidRDefault="009C770B" w:rsidP="00610892">
      <w:pPr>
        <w:pStyle w:val="ad"/>
        <w:numPr>
          <w:ilvl w:val="0"/>
          <w:numId w:val="1"/>
        </w:numPr>
        <w:spacing w:after="240" w:line="360" w:lineRule="auto"/>
        <w:ind w:left="360"/>
        <w:contextualSpacing w:val="0"/>
        <w:jc w:val="both"/>
        <w:rPr>
          <w:rFonts w:ascii="David" w:hAnsi="David"/>
        </w:rPr>
      </w:pPr>
      <w:r w:rsidRPr="00D82A57">
        <w:rPr>
          <w:rFonts w:ascii="David" w:hAnsi="David"/>
          <w:rtl/>
        </w:rPr>
        <w:t>הנסיבות שנמצאו כמיוחדות דיין וכמצדיקות מתחם עונשי מקל, הן אלו:</w:t>
      </w:r>
      <w:r w:rsidR="00251B36" w:rsidRPr="00D82A57">
        <w:rPr>
          <w:rFonts w:ascii="David" w:hAnsi="David"/>
          <w:rtl/>
        </w:rPr>
        <w:t xml:space="preserve"> </w:t>
      </w:r>
      <w:r w:rsidRPr="00D82A57">
        <w:rPr>
          <w:rFonts w:ascii="David" w:hAnsi="David"/>
          <w:rtl/>
        </w:rPr>
        <w:t>היעדר עבר פלילי</w:t>
      </w:r>
      <w:r w:rsidR="00153A7E" w:rsidRPr="00D82A57">
        <w:rPr>
          <w:rFonts w:ascii="David" w:hAnsi="David"/>
          <w:rtl/>
        </w:rPr>
        <w:t>;</w:t>
      </w:r>
      <w:r w:rsidRPr="00D82A57">
        <w:rPr>
          <w:rFonts w:ascii="David" w:hAnsi="David"/>
          <w:rtl/>
        </w:rPr>
        <w:t xml:space="preserve"> נטילת אחריות</w:t>
      </w:r>
      <w:r w:rsidR="00153A7E" w:rsidRPr="00D82A57">
        <w:rPr>
          <w:rFonts w:ascii="David" w:hAnsi="David"/>
          <w:rtl/>
        </w:rPr>
        <w:t xml:space="preserve">; </w:t>
      </w:r>
      <w:r w:rsidRPr="00D82A57">
        <w:rPr>
          <w:rFonts w:ascii="David" w:hAnsi="David"/>
          <w:rtl/>
        </w:rPr>
        <w:t>הודאה בכתב האישום תוך חיסכון בזמנו של בית המשפט ובמשאבי ציבור</w:t>
      </w:r>
      <w:r w:rsidR="00153A7E" w:rsidRPr="00D82A57">
        <w:rPr>
          <w:rFonts w:ascii="David" w:hAnsi="David"/>
          <w:rtl/>
        </w:rPr>
        <w:t>;</w:t>
      </w:r>
      <w:r w:rsidRPr="00D82A57">
        <w:rPr>
          <w:rFonts w:ascii="David" w:hAnsi="David"/>
          <w:rtl/>
        </w:rPr>
        <w:t xml:space="preserve"> </w:t>
      </w:r>
      <w:r w:rsidR="00153A7E" w:rsidRPr="00D82A57">
        <w:rPr>
          <w:rFonts w:ascii="David" w:hAnsi="David"/>
          <w:rtl/>
        </w:rPr>
        <w:t xml:space="preserve">שימוש בדירה שלא להשכרה ונשיאת רווח אלא למגורי בנם של המשיבים, צעיר בעל צרכים מיוחדים; רכישת הדירה מחברת בנייה לפני כעשר שנים, ללא מודעות להיעדרו של היתר לפיצול, ותוך הסתמכות על המפרט הטכני שקיבלו טרם הרכישה; </w:t>
      </w:r>
      <w:r w:rsidR="00251B36" w:rsidRPr="00D82A57">
        <w:rPr>
          <w:rFonts w:ascii="David" w:hAnsi="David"/>
          <w:rtl/>
        </w:rPr>
        <w:t>ו</w:t>
      </w:r>
      <w:r w:rsidR="00153A7E" w:rsidRPr="00D82A57">
        <w:rPr>
          <w:rFonts w:ascii="David" w:hAnsi="David"/>
          <w:rtl/>
        </w:rPr>
        <w:t xml:space="preserve">מאמציהם של המשיבים להכשרת השימוש </w:t>
      </w:r>
      <w:r w:rsidR="00610892">
        <w:rPr>
          <w:rFonts w:ascii="David" w:hAnsi="David" w:hint="cs"/>
          <w:rtl/>
        </w:rPr>
        <w:t>(</w:t>
      </w:r>
      <w:r w:rsidR="00153A7E" w:rsidRPr="00D82A57">
        <w:rPr>
          <w:rFonts w:ascii="David" w:hAnsi="David"/>
          <w:rtl/>
        </w:rPr>
        <w:t>שעד-כה לא עלו יפה)</w:t>
      </w:r>
      <w:r w:rsidR="00251B36" w:rsidRPr="00D82A57">
        <w:rPr>
          <w:rFonts w:ascii="David" w:hAnsi="David"/>
          <w:rtl/>
        </w:rPr>
        <w:t>.</w:t>
      </w:r>
    </w:p>
    <w:p w:rsidR="00D62CA2" w:rsidRPr="00D82A57" w:rsidRDefault="00251B36" w:rsidP="00D82A57">
      <w:pPr>
        <w:pStyle w:val="ad"/>
        <w:numPr>
          <w:ilvl w:val="0"/>
          <w:numId w:val="1"/>
        </w:numPr>
        <w:spacing w:after="240" w:line="360" w:lineRule="auto"/>
        <w:ind w:left="360"/>
        <w:contextualSpacing w:val="0"/>
        <w:jc w:val="both"/>
        <w:rPr>
          <w:rFonts w:ascii="David" w:hAnsi="David"/>
        </w:rPr>
      </w:pPr>
      <w:r w:rsidRPr="00D82A57">
        <w:rPr>
          <w:rFonts w:ascii="David" w:hAnsi="David"/>
          <w:rtl/>
        </w:rPr>
        <w:t>עוד מצא בית המשפט</w:t>
      </w:r>
      <w:r w:rsidR="002A5E2E" w:rsidRPr="00D82A57">
        <w:rPr>
          <w:rFonts w:ascii="David" w:hAnsi="David"/>
          <w:rtl/>
        </w:rPr>
        <w:t>, לעניין מתחם העונש,</w:t>
      </w:r>
      <w:r w:rsidRPr="00D82A57">
        <w:rPr>
          <w:rFonts w:ascii="David" w:hAnsi="David"/>
          <w:rtl/>
        </w:rPr>
        <w:t xml:space="preserve"> כי פגיעת העבירה </w:t>
      </w:r>
      <w:r w:rsidR="002A5E2E" w:rsidRPr="00D82A57">
        <w:rPr>
          <w:rFonts w:ascii="David" w:hAnsi="David"/>
          <w:rtl/>
        </w:rPr>
        <w:t xml:space="preserve">בערכים המוגנים בחוק היא ברף הנמוך, והענישה הנוהגת מגוונת מאוד וקשה לחלץ ממנה מדיניות ברורה. לעניין </w:t>
      </w:r>
      <w:r w:rsidR="00D62CA2" w:rsidRPr="00D82A57">
        <w:rPr>
          <w:rFonts w:ascii="David" w:hAnsi="David"/>
          <w:rtl/>
        </w:rPr>
        <w:t xml:space="preserve">מתחם הקנס וקביעת העונש במתחם, הובאו בחשבון נתונים כספיים – המשיבה עובדת כסייעת בגן בעירית נתניה וממשכורתה מנוכה תשלומים עבור תשלומי ארנונה בעבור הדירה נשוא כתב האישום </w:t>
      </w:r>
      <w:r w:rsidR="00384292">
        <w:rPr>
          <w:rFonts w:ascii="David" w:hAnsi="David"/>
          <w:rtl/>
        </w:rPr>
        <w:t>[</w:t>
      </w:r>
      <w:r w:rsidR="00D62CA2" w:rsidRPr="00D82A57">
        <w:rPr>
          <w:rFonts w:ascii="David" w:hAnsi="David"/>
          <w:rtl/>
        </w:rPr>
        <w:t>תלוש שכר נ/2</w:t>
      </w:r>
      <w:r w:rsidR="00384292">
        <w:rPr>
          <w:rFonts w:ascii="David" w:hAnsi="David"/>
          <w:rtl/>
        </w:rPr>
        <w:t>]</w:t>
      </w:r>
      <w:r w:rsidR="00D62CA2" w:rsidRPr="00D82A57">
        <w:rPr>
          <w:rFonts w:ascii="David" w:hAnsi="David"/>
          <w:rtl/>
        </w:rPr>
        <w:t xml:space="preserve">; המשיב עובד למחייתו כנהג מונית בהיקף משרה של ארבע שעות יומיות בלבד מחמת המצב הרפואי ממנו הוא סובל </w:t>
      </w:r>
      <w:r w:rsidR="00384292">
        <w:rPr>
          <w:rFonts w:ascii="David" w:hAnsi="David"/>
          <w:rtl/>
        </w:rPr>
        <w:t>[</w:t>
      </w:r>
      <w:r w:rsidR="00D62CA2" w:rsidRPr="00D82A57">
        <w:rPr>
          <w:rFonts w:ascii="David" w:hAnsi="David"/>
          <w:rtl/>
        </w:rPr>
        <w:t>נ/3</w:t>
      </w:r>
      <w:r w:rsidR="00384292">
        <w:rPr>
          <w:rFonts w:ascii="David" w:hAnsi="David"/>
          <w:rtl/>
        </w:rPr>
        <w:t>]</w:t>
      </w:r>
      <w:r w:rsidR="00D62CA2" w:rsidRPr="00D82A57">
        <w:rPr>
          <w:rFonts w:ascii="David" w:hAnsi="David"/>
          <w:rtl/>
        </w:rPr>
        <w:t xml:space="preserve">; המשיבים נאלצו ללוות סכומים שהצטברו כדי 200,000 ₪ </w:t>
      </w:r>
      <w:r w:rsidR="00384292">
        <w:rPr>
          <w:rFonts w:ascii="David" w:hAnsi="David"/>
          <w:rtl/>
        </w:rPr>
        <w:t>[</w:t>
      </w:r>
      <w:r w:rsidR="00D62CA2" w:rsidRPr="00D82A57">
        <w:rPr>
          <w:rFonts w:ascii="David" w:hAnsi="David"/>
          <w:rtl/>
        </w:rPr>
        <w:t>נ/2</w:t>
      </w:r>
      <w:r w:rsidR="00384292">
        <w:rPr>
          <w:rFonts w:ascii="David" w:hAnsi="David"/>
          <w:rtl/>
        </w:rPr>
        <w:t>]</w:t>
      </w:r>
      <w:r w:rsidR="00D62CA2" w:rsidRPr="00D82A57">
        <w:rPr>
          <w:rFonts w:ascii="David" w:hAnsi="David"/>
          <w:rtl/>
        </w:rPr>
        <w:t>, ועליהם להשיבם;</w:t>
      </w:r>
      <w:r w:rsidR="00987495" w:rsidRPr="00D82A57">
        <w:rPr>
          <w:rFonts w:ascii="David" w:hAnsi="David"/>
          <w:rtl/>
        </w:rPr>
        <w:t xml:space="preserve"> </w:t>
      </w:r>
      <w:r w:rsidR="006A4973" w:rsidRPr="00D82A57">
        <w:rPr>
          <w:rFonts w:ascii="David" w:hAnsi="David"/>
          <w:rtl/>
        </w:rPr>
        <w:t xml:space="preserve">בהיותם בני שישים, שבריאותם אינה יציבה והכנסותיהם זעומות, לא יוכלו לקבל הלוואות נוספות; </w:t>
      </w:r>
      <w:r w:rsidR="00987495" w:rsidRPr="00D82A57">
        <w:rPr>
          <w:rFonts w:ascii="David" w:hAnsi="David"/>
          <w:rtl/>
        </w:rPr>
        <w:t>הקנסות יעיקו על משק בית אחד;</w:t>
      </w:r>
      <w:r w:rsidR="008E465E" w:rsidRPr="00D82A57">
        <w:rPr>
          <w:rFonts w:ascii="David" w:hAnsi="David"/>
          <w:rtl/>
        </w:rPr>
        <w:t xml:space="preserve"> הוצאות שכבר הוצאו לצורך הכשרת השימוש והתאמת הדירה ל</w:t>
      </w:r>
      <w:r w:rsidR="006A4973" w:rsidRPr="00D82A57">
        <w:rPr>
          <w:rFonts w:ascii="David" w:hAnsi="David"/>
          <w:rtl/>
        </w:rPr>
        <w:t>היתר, ואף הוצאות עתידיות לשם כך; חוסר היכולת למכור את הדירה, כל-עוד לא הותאם מצבה התכנוני להיתר.</w:t>
      </w:r>
    </w:p>
    <w:p w:rsidR="00F54B84" w:rsidRPr="00D82A57" w:rsidRDefault="008E465E" w:rsidP="00D82A57">
      <w:pPr>
        <w:pStyle w:val="ad"/>
        <w:numPr>
          <w:ilvl w:val="0"/>
          <w:numId w:val="1"/>
        </w:numPr>
        <w:spacing w:after="240" w:line="360" w:lineRule="auto"/>
        <w:ind w:left="368"/>
        <w:contextualSpacing w:val="0"/>
        <w:jc w:val="both"/>
        <w:rPr>
          <w:rFonts w:ascii="David" w:hAnsi="David"/>
          <w:rtl/>
        </w:rPr>
      </w:pPr>
      <w:r w:rsidRPr="00D82A57">
        <w:rPr>
          <w:rFonts w:ascii="David" w:hAnsi="David"/>
          <w:rtl/>
        </w:rPr>
        <w:t xml:space="preserve">כך </w:t>
      </w:r>
      <w:r w:rsidRPr="00AB077B">
        <w:rPr>
          <w:rFonts w:ascii="David" w:hAnsi="David"/>
          <w:rtl/>
        </w:rPr>
        <w:t xml:space="preserve">נקבע </w:t>
      </w:r>
      <w:r w:rsidR="00F54B84" w:rsidRPr="00AB077B">
        <w:rPr>
          <w:rFonts w:ascii="David" w:hAnsi="David"/>
          <w:rtl/>
        </w:rPr>
        <w:t>מתחם הקנס בין 6,000 ₪ ל-30,000 ₪</w:t>
      </w:r>
      <w:r w:rsidR="00987495" w:rsidRPr="00AB077B">
        <w:rPr>
          <w:rFonts w:ascii="David" w:hAnsi="David"/>
          <w:rtl/>
        </w:rPr>
        <w:t>, עונשיהם של המשיבים מוק</w:t>
      </w:r>
      <w:r w:rsidRPr="00AB077B">
        <w:rPr>
          <w:rFonts w:ascii="David" w:hAnsi="David"/>
          <w:rtl/>
        </w:rPr>
        <w:t>מו בתחתית</w:t>
      </w:r>
      <w:r w:rsidR="00987495" w:rsidRPr="00AB077B">
        <w:rPr>
          <w:rFonts w:ascii="David" w:hAnsi="David"/>
          <w:rtl/>
        </w:rPr>
        <w:t xml:space="preserve"> </w:t>
      </w:r>
      <w:r w:rsidR="00987495" w:rsidRPr="00D82A57">
        <w:rPr>
          <w:rFonts w:ascii="David" w:hAnsi="David"/>
          <w:rtl/>
        </w:rPr>
        <w:t>המתחם, ונגזר על כל משיב קנס בסך 6,500 ₪. צווי הפסקה לשימוש חורג ולהתאמה להיתר, הוצאו אך ביצועם עוכב למשך שנה.</w:t>
      </w:r>
    </w:p>
    <w:p w:rsidR="00F54B84" w:rsidRPr="00D82A57" w:rsidRDefault="00F54B84" w:rsidP="00D82A57">
      <w:pPr>
        <w:spacing w:after="240" w:line="360" w:lineRule="auto"/>
        <w:ind w:hanging="58"/>
        <w:jc w:val="both"/>
        <w:rPr>
          <w:rFonts w:ascii="David" w:hAnsi="David"/>
          <w:b/>
          <w:bCs/>
          <w:rtl/>
        </w:rPr>
      </w:pPr>
      <w:r w:rsidRPr="00D82A57">
        <w:rPr>
          <w:rFonts w:ascii="David" w:hAnsi="David"/>
          <w:b/>
          <w:bCs/>
          <w:u w:val="single"/>
          <w:rtl/>
        </w:rPr>
        <w:lastRenderedPageBreak/>
        <w:t>עיקר טיעוני המערערת</w:t>
      </w:r>
      <w:r w:rsidRPr="00D82A57">
        <w:rPr>
          <w:rFonts w:ascii="David" w:hAnsi="David"/>
          <w:b/>
          <w:bCs/>
          <w:rtl/>
        </w:rPr>
        <w:t>:</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 xml:space="preserve">המתחם שקבע בית המשפט קמא חורג לקולא באופן קיצוני ולא מידתי ממתחם הקנס ההולם והענישה הנוהגת, לעבירה בה הורשעו המשיבים, בפרט לאור קיומה של הוראת חוק מפורשת המגבילה את הרף התחתון של הקנסות, לקנס המנהלי המקורי </w:t>
      </w:r>
      <w:r w:rsidR="00384292">
        <w:rPr>
          <w:rFonts w:ascii="David" w:hAnsi="David"/>
          <w:rtl/>
        </w:rPr>
        <w:t>[</w:t>
      </w:r>
      <w:r w:rsidRPr="00D82A57">
        <w:rPr>
          <w:rFonts w:ascii="David" w:hAnsi="David"/>
          <w:rtl/>
        </w:rPr>
        <w:t>סעיף 14 לחוק העבירות המנהליות</w:t>
      </w:r>
      <w:r w:rsidR="00384292">
        <w:rPr>
          <w:rFonts w:ascii="David" w:hAnsi="David"/>
          <w:rtl/>
        </w:rPr>
        <w:t>]</w:t>
      </w:r>
      <w:r w:rsidRPr="00D82A57">
        <w:rPr>
          <w:rFonts w:ascii="David" w:hAnsi="David"/>
          <w:rtl/>
        </w:rPr>
        <w:t>.</w:t>
      </w:r>
      <w:r w:rsidR="006A1CE4" w:rsidRPr="00D82A57">
        <w:rPr>
          <w:rFonts w:ascii="David" w:hAnsi="David"/>
          <w:rtl/>
        </w:rPr>
        <w:t xml:space="preserve"> </w:t>
      </w:r>
      <w:r w:rsidRPr="00D82A57">
        <w:rPr>
          <w:rFonts w:ascii="David" w:hAnsi="David"/>
          <w:rtl/>
        </w:rPr>
        <w:t>בית משפט קמא שגה גם בקביעת הקנס בתוך המתחם, עת קבע כי "הנסיבות המיוחדות" בתיק זה מצדיקות מתן קנס ברף התחתון של המתחם. הימנעות מהצבת הקנס המנהלי המקורי כרף תחתון, תביא לפגיעה קשה וממשית בהליכי האכיפה ובאינטרס הציבורי. סטיה מרף ענישה זה, באופן תדיר וללא נימוקים אמתיים וחריגים לא תאיין את הכדאיות הכלכלית בהסרת העבירה בשלב המנהלי.</w:t>
      </w:r>
    </w:p>
    <w:p w:rsidR="00F54B84" w:rsidRPr="00D82A57" w:rsidRDefault="00F54B8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שגה בית משפט קמא עת הטיל על המשיבים צווים דחויים למשך שנה, ללא רישום של הטעמים המיוחדים המצדיקים מתן ארכה כה ממושכת, ומבלי להתנות תנאים לשם ביצוע הצווים, כגון הפסקת שימוש לפחות בקומה התחתונה שאינה אמורה לשמש כמגורים, זאת בניגוד לסעיף 254(ד) לחוק.</w:t>
      </w:r>
    </w:p>
    <w:p w:rsidR="006A1CE4" w:rsidRPr="00D82A57" w:rsidRDefault="006A1CE4" w:rsidP="00D82A57">
      <w:pPr>
        <w:pStyle w:val="ad"/>
        <w:numPr>
          <w:ilvl w:val="0"/>
          <w:numId w:val="1"/>
        </w:numPr>
        <w:spacing w:after="240" w:line="360" w:lineRule="auto"/>
        <w:ind w:left="368"/>
        <w:contextualSpacing w:val="0"/>
        <w:jc w:val="both"/>
        <w:rPr>
          <w:rFonts w:ascii="David" w:hAnsi="David"/>
        </w:rPr>
      </w:pPr>
      <w:r w:rsidRPr="00D82A57">
        <w:rPr>
          <w:rFonts w:ascii="David" w:hAnsi="David"/>
          <w:rtl/>
        </w:rPr>
        <w:t>עוד טענה המערערת כנגד אופן קביעתו של מתחם הקנס, לרבות מתן משקל מופרז לנתונים מסוימים, והצביעה על המניע הכלכלי המובה</w:t>
      </w:r>
      <w:r w:rsidR="004E5522" w:rsidRPr="00D82A57">
        <w:rPr>
          <w:rFonts w:ascii="David" w:hAnsi="David"/>
          <w:rtl/>
        </w:rPr>
        <w:t>ק לביצוע העבירה, שעומעם בהנמקותיו של ביהמ"ש קמא.</w:t>
      </w:r>
      <w:r w:rsidR="006A4973" w:rsidRPr="00D82A57">
        <w:rPr>
          <w:rFonts w:ascii="David" w:hAnsi="David"/>
          <w:rtl/>
        </w:rPr>
        <w:t xml:space="preserve"> המערערת אינה סוברת כי המשיבים הקלו על מערכת המשפט, וכי הודאתם ראויה לשבח, שהלא ההליכים 'נמרחו' משנת 2020 ועד היום, כשכל הזמן הזה נהנים המשיבים מפירות העבירה</w:t>
      </w:r>
      <w:r w:rsidR="00160B63" w:rsidRPr="00D82A57">
        <w:rPr>
          <w:rFonts w:ascii="David" w:hAnsi="David"/>
          <w:rtl/>
        </w:rPr>
        <w:t>, כשהסרת המחדל רחוקה ממחשבותיהם.</w:t>
      </w:r>
    </w:p>
    <w:p w:rsidR="00F54B84" w:rsidRDefault="00F54B84" w:rsidP="00D82A57">
      <w:pPr>
        <w:spacing w:after="240" w:line="360" w:lineRule="auto"/>
        <w:ind w:left="6"/>
        <w:jc w:val="both"/>
        <w:rPr>
          <w:rFonts w:ascii="David" w:hAnsi="David"/>
          <w:rtl/>
        </w:rPr>
      </w:pPr>
      <w:r w:rsidRPr="00D82A57">
        <w:rPr>
          <w:rFonts w:ascii="David" w:hAnsi="David"/>
          <w:b/>
          <w:bCs/>
          <w:u w:val="single"/>
          <w:rtl/>
        </w:rPr>
        <w:t>דיון והכרעה</w:t>
      </w:r>
      <w:r w:rsidRPr="00D82A57">
        <w:rPr>
          <w:rFonts w:ascii="David" w:hAnsi="David"/>
          <w:rtl/>
        </w:rPr>
        <w:t>:</w:t>
      </w:r>
    </w:p>
    <w:p w:rsidR="00B60D1C" w:rsidRPr="00B60D1C" w:rsidRDefault="00071FD4" w:rsidP="00D82A57">
      <w:pPr>
        <w:spacing w:after="240" w:line="360" w:lineRule="auto"/>
        <w:ind w:left="6"/>
        <w:jc w:val="both"/>
        <w:rPr>
          <w:rFonts w:ascii="David" w:hAnsi="David"/>
          <w:rtl/>
        </w:rPr>
      </w:pPr>
      <w:r w:rsidRPr="00071FD4">
        <w:rPr>
          <w:rFonts w:ascii="David" w:hAnsi="David" w:hint="cs"/>
          <w:u w:val="single"/>
          <w:rtl/>
        </w:rPr>
        <w:t>שיעורו של קנס שהושת בהליך פלילי חלף הליך מנהלי</w:t>
      </w:r>
      <w:r w:rsidR="00B60D1C">
        <w:rPr>
          <w:rFonts w:ascii="David" w:hAnsi="David" w:hint="cs"/>
          <w:rtl/>
        </w:rPr>
        <w:t>:</w:t>
      </w:r>
    </w:p>
    <w:p w:rsidR="0037373F" w:rsidRPr="00D82A57" w:rsidRDefault="00217426" w:rsidP="00454D73">
      <w:pPr>
        <w:pStyle w:val="ad"/>
        <w:numPr>
          <w:ilvl w:val="0"/>
          <w:numId w:val="1"/>
        </w:numPr>
        <w:spacing w:after="240" w:line="360" w:lineRule="auto"/>
        <w:ind w:left="368"/>
        <w:contextualSpacing w:val="0"/>
        <w:jc w:val="both"/>
        <w:rPr>
          <w:rFonts w:ascii="David" w:hAnsi="David"/>
        </w:rPr>
      </w:pPr>
      <w:r w:rsidRPr="00D82A57">
        <w:rPr>
          <w:rFonts w:ascii="David" w:hAnsi="David"/>
          <w:rtl/>
        </w:rPr>
        <w:t xml:space="preserve">כפי </w:t>
      </w:r>
      <w:r w:rsidRPr="00454D73">
        <w:rPr>
          <w:rFonts w:ascii="David" w:hAnsi="David"/>
          <w:rtl/>
        </w:rPr>
        <w:t>שנפסק לאחרונה</w:t>
      </w:r>
      <w:r w:rsidR="00454D73">
        <w:rPr>
          <w:rFonts w:ascii="David" w:hAnsi="David" w:hint="cs"/>
          <w:rtl/>
        </w:rPr>
        <w:t xml:space="preserve"> ברע"פ 7286/22</w:t>
      </w:r>
      <w:r w:rsidRPr="00454D73">
        <w:rPr>
          <w:rFonts w:ascii="David" w:hAnsi="David"/>
          <w:rtl/>
        </w:rPr>
        <w:t xml:space="preserve"> </w:t>
      </w:r>
      <w:r w:rsidRPr="00D82A57">
        <w:rPr>
          <w:rFonts w:ascii="David" w:hAnsi="David"/>
          <w:b/>
          <w:bCs/>
          <w:rtl/>
        </w:rPr>
        <w:t>בונפד נ' מ.י.</w:t>
      </w:r>
      <w:r w:rsidRPr="00D82A57">
        <w:rPr>
          <w:rFonts w:ascii="David" w:hAnsi="David"/>
          <w:rtl/>
        </w:rPr>
        <w:t xml:space="preserve"> (23.02.23), גם בהשתת קנס בהליך פלילי </w:t>
      </w:r>
      <w:r w:rsidR="00C46403">
        <w:rPr>
          <w:rFonts w:ascii="David" w:hAnsi="David" w:hint="cs"/>
          <w:rtl/>
        </w:rPr>
        <w:t>שבא</w:t>
      </w:r>
      <w:r w:rsidRPr="00D82A57">
        <w:rPr>
          <w:rFonts w:ascii="David" w:hAnsi="David"/>
          <w:rtl/>
        </w:rPr>
        <w:t xml:space="preserve"> חלף הליך מנהלי, יש לקבוע מתחם עונש הולם. במסגרת זו תחתית המתחם בדרך כלל ראוי שתעמוד על שיעור הקנס המנהלי ולא פחות מכך, ועוד ראו </w:t>
      </w:r>
      <w:r w:rsidR="0037373F" w:rsidRPr="00D82A57">
        <w:rPr>
          <w:rFonts w:ascii="David" w:hAnsi="David"/>
          <w:rtl/>
        </w:rPr>
        <w:t xml:space="preserve">עפ"ג 9980-05-22 </w:t>
      </w:r>
      <w:r w:rsidR="0037373F" w:rsidRPr="00D82A57">
        <w:rPr>
          <w:rFonts w:ascii="David" w:hAnsi="David"/>
          <w:b/>
          <w:bCs/>
          <w:rtl/>
        </w:rPr>
        <w:t xml:space="preserve">המחלקה להנחיית תובעים מוסמכי היועץ המשפטי לממשלה נ' ששה יהורם בע"מ </w:t>
      </w:r>
      <w:r w:rsidR="0037373F" w:rsidRPr="00D82A57">
        <w:rPr>
          <w:rFonts w:ascii="David" w:hAnsi="David"/>
          <w:rtl/>
        </w:rPr>
        <w:t>(27</w:t>
      </w:r>
      <w:r w:rsidR="00454D73">
        <w:rPr>
          <w:rFonts w:ascii="David" w:hAnsi="David"/>
          <w:rtl/>
        </w:rPr>
        <w:t>.12.2022)</w:t>
      </w:r>
      <w:r w:rsidR="00454D73">
        <w:rPr>
          <w:rFonts w:ascii="David" w:hAnsi="David" w:hint="cs"/>
          <w:rtl/>
        </w:rPr>
        <w:t>, ו</w:t>
      </w:r>
      <w:r w:rsidR="0037373F" w:rsidRPr="00D82A57">
        <w:rPr>
          <w:rFonts w:ascii="David" w:hAnsi="David"/>
          <w:rtl/>
        </w:rPr>
        <w:t xml:space="preserve">עתפ"ב 12501-07-22 </w:t>
      </w:r>
      <w:r w:rsidR="0037373F" w:rsidRPr="00D82A57">
        <w:rPr>
          <w:rFonts w:ascii="David" w:hAnsi="David"/>
          <w:b/>
          <w:bCs/>
          <w:rtl/>
        </w:rPr>
        <w:t>חיים ואח' נ' המחלקה להנחיית תובעים מוסמכי היועמ"ש (</w:t>
      </w:r>
      <w:r w:rsidR="0037373F" w:rsidRPr="00D82A57">
        <w:rPr>
          <w:rFonts w:ascii="David" w:hAnsi="David"/>
          <w:rtl/>
        </w:rPr>
        <w:t>3.10.2022).</w:t>
      </w:r>
    </w:p>
    <w:p w:rsidR="002778C6" w:rsidRPr="00D82A57" w:rsidRDefault="00F54B84" w:rsidP="00D82A57">
      <w:pPr>
        <w:pStyle w:val="ad"/>
        <w:numPr>
          <w:ilvl w:val="0"/>
          <w:numId w:val="1"/>
        </w:numPr>
        <w:spacing w:before="240" w:after="240" w:line="360" w:lineRule="auto"/>
        <w:ind w:left="368"/>
        <w:contextualSpacing w:val="0"/>
        <w:jc w:val="both"/>
        <w:rPr>
          <w:rFonts w:ascii="David" w:hAnsi="David"/>
        </w:rPr>
      </w:pPr>
      <w:r w:rsidRPr="00D82A57">
        <w:rPr>
          <w:rFonts w:ascii="David" w:hAnsi="David"/>
          <w:rtl/>
        </w:rPr>
        <w:t>מטרת המחוקק בקביעת קנסות מנהליים כבדים לצד עבירות מסוימות, היא לגדור גדר לפיתוי ולשלול את הכדאיות הכלכלית בביצוע עבירות אלו, לרבות העבירה של שימוש אסור במקרקעין, בה עסקינן. מטרה חשובה נוספת, המגולמת בהסדר של עבירות מנהליות, היא לעודד תשלום קנס ללא התדיינות ובכך להקל הן על האזרח והן על מערכת אכיפת החוק.</w:t>
      </w:r>
      <w:r w:rsidR="002778C6" w:rsidRPr="00D82A57">
        <w:rPr>
          <w:rFonts w:ascii="David" w:hAnsi="David"/>
          <w:rtl/>
        </w:rPr>
        <w:t xml:space="preserve"> </w:t>
      </w:r>
    </w:p>
    <w:p w:rsidR="002778C6" w:rsidRPr="00610892" w:rsidRDefault="005F1D0D" w:rsidP="0010190E">
      <w:pPr>
        <w:pStyle w:val="ad"/>
        <w:numPr>
          <w:ilvl w:val="0"/>
          <w:numId w:val="1"/>
        </w:numPr>
        <w:spacing w:before="240" w:after="240" w:line="360" w:lineRule="auto"/>
        <w:ind w:left="368"/>
        <w:contextualSpacing w:val="0"/>
        <w:jc w:val="both"/>
        <w:rPr>
          <w:rFonts w:ascii="David" w:hAnsi="David"/>
        </w:rPr>
      </w:pPr>
      <w:r w:rsidRPr="00610892">
        <w:rPr>
          <w:rFonts w:ascii="David" w:hAnsi="David"/>
          <w:rtl/>
        </w:rPr>
        <w:lastRenderedPageBreak/>
        <w:t>על פי</w:t>
      </w:r>
      <w:r w:rsidR="00071FD4" w:rsidRPr="00610892">
        <w:rPr>
          <w:rFonts w:ascii="David" w:hAnsi="David" w:hint="cs"/>
          <w:rtl/>
        </w:rPr>
        <w:t xml:space="preserve"> סעיף 14 </w:t>
      </w:r>
      <w:r w:rsidRPr="00610892">
        <w:rPr>
          <w:rFonts w:ascii="David" w:hAnsi="David"/>
          <w:rtl/>
        </w:rPr>
        <w:t>ל</w:t>
      </w:r>
      <w:hyperlink r:id="rId9" w:history="1">
        <w:r w:rsidRPr="00610892">
          <w:rPr>
            <w:rStyle w:val="Hyperlink"/>
            <w:rFonts w:ascii="David" w:hAnsi="David"/>
            <w:color w:val="auto"/>
            <w:u w:val="none"/>
            <w:rtl/>
          </w:rPr>
          <w:t>חוק העבירות המנהליות</w:t>
        </w:r>
      </w:hyperlink>
      <w:r w:rsidRPr="00610892">
        <w:rPr>
          <w:rFonts w:ascii="David" w:hAnsi="David"/>
          <w:rtl/>
        </w:rPr>
        <w:t xml:space="preserve"> רשאי בית משפט להפחית את הקנס משיעור הקנס המנהלי, </w:t>
      </w:r>
      <w:r w:rsidR="00071FD4" w:rsidRPr="00610892">
        <w:rPr>
          <w:rFonts w:ascii="David" w:hAnsi="David" w:hint="cs"/>
          <w:rtl/>
        </w:rPr>
        <w:t>מנימוקים שיירשמו ו</w:t>
      </w:r>
      <w:r w:rsidRPr="00610892">
        <w:rPr>
          <w:rFonts w:ascii="David" w:hAnsi="David"/>
          <w:rtl/>
        </w:rPr>
        <w:t>אם ראה נסיבות מיוחדות המצדיקות את הפחתתו</w:t>
      </w:r>
      <w:r w:rsidR="00071FD4" w:rsidRPr="00610892">
        <w:rPr>
          <w:rFonts w:ascii="David" w:hAnsi="David" w:hint="cs"/>
          <w:rtl/>
        </w:rPr>
        <w:t>.</w:t>
      </w:r>
      <w:r w:rsidR="00610892" w:rsidRPr="00610892">
        <w:rPr>
          <w:rFonts w:ascii="David" w:hAnsi="David" w:hint="cs"/>
          <w:rtl/>
        </w:rPr>
        <w:t xml:space="preserve"> </w:t>
      </w:r>
      <w:r w:rsidR="002778C6" w:rsidRPr="00610892">
        <w:rPr>
          <w:rFonts w:ascii="David" w:hAnsi="David"/>
          <w:rtl/>
        </w:rPr>
        <w:t xml:space="preserve">על-פי ההלכה הפסוקה, הפחתת הקנס המקורי תעשה במשורה ורק במקרים חריגים ביותר. למעשה, מטעמי מדיניות משפטית ראויה, וכדי להגשים את מטרת המחוקק, החמירו בתי המשפט לדרגותיהם וקבעו כי הנסיבות המיוחדות צריכות להיות גם "חריגות ויוצאות דופן" [ראו למשל </w:t>
      </w:r>
      <w:hyperlink r:id="rId10" w:history="1">
        <w:r w:rsidR="002778C6" w:rsidRPr="00610892">
          <w:rPr>
            <w:rStyle w:val="Hyperlink"/>
            <w:rFonts w:ascii="David" w:hAnsi="David"/>
            <w:color w:val="auto"/>
            <w:u w:val="none"/>
            <w:rtl/>
          </w:rPr>
          <w:t>עפ"ג 16066-09-19</w:t>
        </w:r>
      </w:hyperlink>
      <w:r w:rsidR="002778C6" w:rsidRPr="00610892">
        <w:rPr>
          <w:rFonts w:ascii="David" w:hAnsi="David"/>
          <w:rtl/>
        </w:rPr>
        <w:t xml:space="preserve"> (מחוזי ב"ש)  </w:t>
      </w:r>
      <w:r w:rsidR="002778C6" w:rsidRPr="00610892">
        <w:rPr>
          <w:rFonts w:ascii="David" w:hAnsi="David"/>
          <w:b/>
          <w:bCs/>
          <w:rtl/>
        </w:rPr>
        <w:t>מ"י – משרד החקלאות נ' סלים דביגי</w:t>
      </w:r>
      <w:r w:rsidR="002778C6" w:rsidRPr="00610892">
        <w:rPr>
          <w:rFonts w:ascii="David" w:hAnsi="David"/>
          <w:rtl/>
        </w:rPr>
        <w:t xml:space="preserve"> (2020) וההפניות שבו; ו</w:t>
      </w:r>
      <w:hyperlink r:id="rId11" w:history="1">
        <w:r w:rsidR="002778C6" w:rsidRPr="00610892">
          <w:rPr>
            <w:rStyle w:val="Hyperlink"/>
            <w:rFonts w:ascii="David" w:hAnsi="David"/>
            <w:color w:val="auto"/>
            <w:u w:val="none"/>
            <w:rtl/>
          </w:rPr>
          <w:t>עפ"ג 25581-06-20</w:t>
        </w:r>
      </w:hyperlink>
      <w:r w:rsidR="002778C6" w:rsidRPr="00610892">
        <w:rPr>
          <w:rFonts w:ascii="David" w:hAnsi="David"/>
          <w:rtl/>
        </w:rPr>
        <w:t xml:space="preserve"> (מחוזי חיפה) </w:t>
      </w:r>
      <w:r w:rsidR="002778C6" w:rsidRPr="00610892">
        <w:rPr>
          <w:rFonts w:ascii="David" w:hAnsi="David"/>
          <w:b/>
          <w:bCs/>
          <w:rtl/>
        </w:rPr>
        <w:t>מ"י נ' גאזי נאטור</w:t>
      </w:r>
      <w:r w:rsidR="002778C6" w:rsidRPr="00610892">
        <w:rPr>
          <w:rFonts w:ascii="David" w:hAnsi="David"/>
          <w:rtl/>
        </w:rPr>
        <w:t xml:space="preserve"> (2020)]. הפסיקה אף הבהירה כי הבוחר להישפט נוטל על עצמו סיכון וסיכוי. סיכוי, אם יצליח להוכיח את חפותו וסיכון, כי העונש יהיה </w:t>
      </w:r>
      <w:r w:rsidR="002778C6" w:rsidRPr="00610892">
        <w:rPr>
          <w:rFonts w:ascii="David" w:hAnsi="David"/>
          <w:b/>
          <w:bCs/>
          <w:rtl/>
        </w:rPr>
        <w:t>גבוה</w:t>
      </w:r>
      <w:r w:rsidR="002778C6" w:rsidRPr="00610892">
        <w:rPr>
          <w:rFonts w:ascii="David" w:hAnsi="David"/>
          <w:rtl/>
        </w:rPr>
        <w:t xml:space="preserve"> בסופו מגובה הקנס, אם יורשע [</w:t>
      </w:r>
      <w:hyperlink r:id="rId12" w:history="1">
        <w:r w:rsidR="002778C6" w:rsidRPr="00610892">
          <w:rPr>
            <w:rStyle w:val="Hyperlink"/>
            <w:rFonts w:ascii="David" w:hAnsi="David"/>
            <w:color w:val="auto"/>
            <w:u w:val="none"/>
            <w:rtl/>
          </w:rPr>
          <w:t>רע"פ 7223/06</w:t>
        </w:r>
      </w:hyperlink>
      <w:r w:rsidR="002778C6" w:rsidRPr="00610892">
        <w:rPr>
          <w:rFonts w:ascii="David" w:hAnsi="David"/>
          <w:rtl/>
        </w:rPr>
        <w:t xml:space="preserve"> </w:t>
      </w:r>
      <w:r w:rsidR="002778C6" w:rsidRPr="00610892">
        <w:rPr>
          <w:rFonts w:ascii="David" w:hAnsi="David"/>
          <w:b/>
          <w:bCs/>
          <w:rtl/>
        </w:rPr>
        <w:t xml:space="preserve">יהודה יולזרי נ' מ"י </w:t>
      </w:r>
      <w:r w:rsidR="00384292" w:rsidRPr="00610892">
        <w:rPr>
          <w:rFonts w:ascii="David" w:hAnsi="David"/>
          <w:rtl/>
        </w:rPr>
        <w:t>(2006)</w:t>
      </w:r>
      <w:r w:rsidR="002778C6" w:rsidRPr="00610892">
        <w:rPr>
          <w:rFonts w:ascii="David" w:hAnsi="David"/>
          <w:rtl/>
        </w:rPr>
        <w:t xml:space="preserve"> ו</w:t>
      </w:r>
      <w:hyperlink r:id="rId13" w:history="1">
        <w:r w:rsidR="002778C6" w:rsidRPr="00610892">
          <w:rPr>
            <w:rStyle w:val="Hyperlink"/>
            <w:rFonts w:ascii="David" w:hAnsi="David"/>
            <w:color w:val="auto"/>
            <w:u w:val="none"/>
            <w:rtl/>
          </w:rPr>
          <w:t>עפ"ג 49835-05-18</w:t>
        </w:r>
      </w:hyperlink>
      <w:r w:rsidR="002778C6" w:rsidRPr="00610892">
        <w:rPr>
          <w:rFonts w:ascii="David" w:hAnsi="David"/>
          <w:rtl/>
        </w:rPr>
        <w:t xml:space="preserve"> (מחוזי מרכז) </w:t>
      </w:r>
      <w:r w:rsidR="002778C6" w:rsidRPr="00610892">
        <w:rPr>
          <w:rFonts w:ascii="David" w:hAnsi="David"/>
          <w:b/>
          <w:bCs/>
          <w:rtl/>
        </w:rPr>
        <w:t>מ"י נ' פאללאק</w:t>
      </w:r>
      <w:r w:rsidR="002778C6" w:rsidRPr="00610892">
        <w:rPr>
          <w:rFonts w:ascii="David" w:hAnsi="David"/>
          <w:rtl/>
        </w:rPr>
        <w:t xml:space="preserve"> (2018)].   </w:t>
      </w:r>
    </w:p>
    <w:p w:rsidR="002778C6" w:rsidRDefault="00FE448E" w:rsidP="00D10981">
      <w:pPr>
        <w:pStyle w:val="ad"/>
        <w:numPr>
          <w:ilvl w:val="0"/>
          <w:numId w:val="1"/>
        </w:numPr>
        <w:spacing w:after="240" w:line="360" w:lineRule="auto"/>
        <w:ind w:left="368"/>
        <w:contextualSpacing w:val="0"/>
        <w:jc w:val="both"/>
        <w:rPr>
          <w:rFonts w:ascii="David" w:hAnsi="David"/>
        </w:rPr>
      </w:pPr>
      <w:r w:rsidRPr="00D82A57">
        <w:rPr>
          <w:rFonts w:ascii="David" w:hAnsi="David"/>
          <w:rtl/>
        </w:rPr>
        <w:t>גם אם אנקוט בגישה מקלה יותר, שאינה דורשת שהייחוד והחריגות של הנסיבות יהיו קיצוניים, לא ניתן לקיים את גזר הדין</w:t>
      </w:r>
      <w:r w:rsidR="00D10981">
        <w:rPr>
          <w:rFonts w:ascii="David" w:hAnsi="David" w:hint="cs"/>
          <w:rtl/>
        </w:rPr>
        <w:t xml:space="preserve"> במלואו</w:t>
      </w:r>
      <w:r w:rsidRPr="00D82A57">
        <w:rPr>
          <w:rFonts w:ascii="David" w:hAnsi="David"/>
          <w:rtl/>
        </w:rPr>
        <w:t xml:space="preserve">, מבלי לערער את יציבותם של הכללים הנ"ל, שנקבעו מרצון המחוקק. כברוב-רובם של המקרים, </w:t>
      </w:r>
      <w:r w:rsidR="00D36F52" w:rsidRPr="00D82A57">
        <w:rPr>
          <w:rFonts w:ascii="David" w:hAnsi="David"/>
          <w:rtl/>
        </w:rPr>
        <w:t xml:space="preserve">גם הליכה אדוקה בתלמי תיקון 113 הנ"ל, תוביל לתוצאה דומה, ודאי בעקבות עניין </w:t>
      </w:r>
      <w:r w:rsidR="00D36F52" w:rsidRPr="00D82A57">
        <w:rPr>
          <w:rFonts w:ascii="David" w:hAnsi="David"/>
          <w:b/>
          <w:bCs/>
          <w:rtl/>
        </w:rPr>
        <w:t>בונפד</w:t>
      </w:r>
      <w:r w:rsidR="00D36F52" w:rsidRPr="00D82A57">
        <w:rPr>
          <w:rFonts w:ascii="David" w:hAnsi="David"/>
          <w:rtl/>
        </w:rPr>
        <w:t>.</w:t>
      </w:r>
    </w:p>
    <w:p w:rsidR="00CD5A34" w:rsidRDefault="00CD5A34" w:rsidP="00CD5A34">
      <w:pPr>
        <w:pStyle w:val="ad"/>
        <w:numPr>
          <w:ilvl w:val="0"/>
          <w:numId w:val="1"/>
        </w:numPr>
        <w:spacing w:after="240" w:line="360" w:lineRule="auto"/>
        <w:ind w:left="368"/>
        <w:contextualSpacing w:val="0"/>
        <w:jc w:val="both"/>
        <w:rPr>
          <w:rFonts w:ascii="David" w:hAnsi="David"/>
        </w:rPr>
      </w:pPr>
      <w:r>
        <w:rPr>
          <w:rFonts w:ascii="David" w:hAnsi="David" w:hint="cs"/>
          <w:rtl/>
        </w:rPr>
        <w:t>אציין, שפסקי הדין שנסקרו בגזר הדין לא יכלו לסייע בקביעתם של עונשי הקנס, שכן אף לא אחד מהליכים אלו החל דרכו כקנס מנהלי ולכן אף לא אחד מאלו כבול היה בהוראותיו של חוק העבירות המנהליות (בנוסף לנסיבות פרטניות, כגון הסדר לענישה מוסכמת).</w:t>
      </w:r>
    </w:p>
    <w:p w:rsidR="00B60D1C" w:rsidRPr="00B60D1C" w:rsidRDefault="00B60D1C" w:rsidP="00B60D1C">
      <w:pPr>
        <w:spacing w:after="240" w:line="360" w:lineRule="auto"/>
        <w:jc w:val="both"/>
        <w:rPr>
          <w:rFonts w:ascii="David" w:hAnsi="David"/>
        </w:rPr>
      </w:pPr>
      <w:r w:rsidRPr="00D66F76">
        <w:rPr>
          <w:rFonts w:ascii="David" w:hAnsi="David" w:hint="cs"/>
          <w:u w:val="single"/>
          <w:rtl/>
        </w:rPr>
        <w:t>"נסיבות מיוחדות</w:t>
      </w:r>
      <w:r w:rsidR="00D66F76" w:rsidRPr="00D66F76">
        <w:rPr>
          <w:rFonts w:ascii="David" w:hAnsi="David" w:hint="cs"/>
          <w:u w:val="single"/>
          <w:rtl/>
        </w:rPr>
        <w:t>"</w:t>
      </w:r>
      <w:r w:rsidR="0009572A">
        <w:rPr>
          <w:rFonts w:ascii="David" w:hAnsi="David" w:hint="cs"/>
          <w:u w:val="single"/>
          <w:rtl/>
        </w:rPr>
        <w:t xml:space="preserve"> שנמנו בגזר הדין</w:t>
      </w:r>
      <w:r w:rsidR="00D66F76" w:rsidRPr="00D66F76">
        <w:rPr>
          <w:rFonts w:ascii="David" w:hAnsi="David" w:hint="cs"/>
          <w:u w:val="single"/>
          <w:rtl/>
        </w:rPr>
        <w:t xml:space="preserve"> </w:t>
      </w:r>
      <w:r w:rsidR="00D66F76" w:rsidRPr="00D66F76">
        <w:rPr>
          <w:rFonts w:ascii="David" w:hAnsi="David"/>
          <w:u w:val="single"/>
          <w:rtl/>
        </w:rPr>
        <w:t>–</w:t>
      </w:r>
      <w:r w:rsidR="00D66F76" w:rsidRPr="00D66F76">
        <w:rPr>
          <w:rFonts w:ascii="David" w:hAnsi="David" w:hint="cs"/>
          <w:u w:val="single"/>
          <w:rtl/>
        </w:rPr>
        <w:t xml:space="preserve"> סקירה וביקורת</w:t>
      </w:r>
      <w:r w:rsidR="00D66F76">
        <w:rPr>
          <w:rFonts w:ascii="David" w:hAnsi="David" w:hint="cs"/>
          <w:rtl/>
        </w:rPr>
        <w:t>:</w:t>
      </w:r>
    </w:p>
    <w:p w:rsidR="003A1313" w:rsidRDefault="00B37E2B" w:rsidP="00D0108C">
      <w:pPr>
        <w:pStyle w:val="ad"/>
        <w:numPr>
          <w:ilvl w:val="0"/>
          <w:numId w:val="1"/>
        </w:numPr>
        <w:spacing w:after="240" w:line="360" w:lineRule="auto"/>
        <w:ind w:left="368"/>
        <w:contextualSpacing w:val="0"/>
        <w:jc w:val="both"/>
        <w:rPr>
          <w:rFonts w:ascii="David" w:hAnsi="David"/>
        </w:rPr>
      </w:pPr>
      <w:r w:rsidRPr="00D82A57">
        <w:rPr>
          <w:rFonts w:ascii="David" w:hAnsi="David"/>
          <w:rtl/>
        </w:rPr>
        <w:t xml:space="preserve">לא </w:t>
      </w:r>
      <w:r w:rsidR="00795720">
        <w:rPr>
          <w:rFonts w:ascii="David" w:hAnsi="David" w:hint="cs"/>
          <w:rtl/>
        </w:rPr>
        <w:t>הובר</w:t>
      </w:r>
      <w:r w:rsidRPr="00D82A57">
        <w:rPr>
          <w:rFonts w:ascii="David" w:hAnsi="David"/>
          <w:rtl/>
        </w:rPr>
        <w:t xml:space="preserve">ר, כיצד הוטעו המשיבים בעת רכישת הדירה, </w:t>
      </w:r>
      <w:r w:rsidR="00454D73">
        <w:rPr>
          <w:rFonts w:ascii="David" w:hAnsi="David" w:hint="cs"/>
          <w:rtl/>
        </w:rPr>
        <w:t xml:space="preserve">כטענתם, </w:t>
      </w:r>
      <w:r w:rsidRPr="00D82A57">
        <w:rPr>
          <w:rFonts w:ascii="David" w:hAnsi="David"/>
          <w:rtl/>
        </w:rPr>
        <w:t xml:space="preserve">בנוגע למצבה התכנוני. </w:t>
      </w:r>
      <w:r w:rsidR="00795720">
        <w:rPr>
          <w:rFonts w:ascii="David" w:hAnsi="David" w:hint="cs"/>
          <w:rtl/>
        </w:rPr>
        <w:t xml:space="preserve">ראשית, אזכיר כי המשיבים הודו בעובדות כתב האישום, לפיהן נערכו בדירה עבודות </w:t>
      </w:r>
      <w:r w:rsidR="001A520D">
        <w:rPr>
          <w:rFonts w:ascii="David" w:hAnsi="David" w:hint="cs"/>
          <w:rtl/>
        </w:rPr>
        <w:t>משמעותיות ששינו לחלוטין את אופיה והשלימו את פיצולה לשתי דירות נפרדות. ספק אם טענותיהם לרכיש</w:t>
      </w:r>
      <w:r w:rsidR="00363585">
        <w:rPr>
          <w:rFonts w:ascii="David" w:hAnsi="David" w:hint="cs"/>
          <w:rtl/>
        </w:rPr>
        <w:t>ת</w:t>
      </w:r>
      <w:r w:rsidR="001A520D">
        <w:rPr>
          <w:rFonts w:ascii="David" w:hAnsi="David" w:hint="cs"/>
          <w:rtl/>
        </w:rPr>
        <w:t xml:space="preserve"> הדירה ללא</w:t>
      </w:r>
      <w:r w:rsidR="00363585">
        <w:rPr>
          <w:rFonts w:ascii="David" w:hAnsi="David" w:hint="cs"/>
          <w:rtl/>
        </w:rPr>
        <w:t xml:space="preserve"> ביצוע העבודות, אלא מפוצלת כשהיתה ("</w:t>
      </w:r>
      <w:r w:rsidR="00363585">
        <w:rPr>
          <w:rFonts w:ascii="David" w:hAnsi="David"/>
        </w:rPr>
        <w:t>as is</w:t>
      </w:r>
      <w:r w:rsidR="00363585">
        <w:rPr>
          <w:rFonts w:ascii="David" w:hAnsi="David" w:hint="cs"/>
          <w:rtl/>
        </w:rPr>
        <w:t xml:space="preserve">"), עולות בקנה אחד עם עובדות האישום בהן הודו. בנוסף, לא </w:t>
      </w:r>
      <w:r w:rsidR="00160743">
        <w:rPr>
          <w:rFonts w:ascii="David" w:hAnsi="David" w:hint="cs"/>
          <w:rtl/>
        </w:rPr>
        <w:t>מצאתי בתיק ביהמ"ש קמא מפרט טכני התומך בטענה זו, כאמור בגזר הדין, אלא עמוד בודד מתוך מסמך שניתן להסיק כי הוא חוזה הרכישה</w:t>
      </w:r>
      <w:r w:rsidR="00975805">
        <w:rPr>
          <w:rFonts w:ascii="David" w:hAnsi="David" w:hint="cs"/>
          <w:rtl/>
        </w:rPr>
        <w:t xml:space="preserve"> (אך אולי אינו)</w:t>
      </w:r>
      <w:r w:rsidR="00160743">
        <w:rPr>
          <w:rFonts w:ascii="David" w:hAnsi="David" w:hint="cs"/>
          <w:rtl/>
        </w:rPr>
        <w:t>,</w:t>
      </w:r>
      <w:r w:rsidR="00512738">
        <w:rPr>
          <w:rFonts w:ascii="David" w:hAnsi="David" w:hint="cs"/>
          <w:rtl/>
        </w:rPr>
        <w:t xml:space="preserve"> שצורף כנספח א' לתשובה לערעור </w:t>
      </w:r>
      <w:r w:rsidR="00512738">
        <w:rPr>
          <w:rFonts w:ascii="David" w:hAnsi="David"/>
          <w:rtl/>
        </w:rPr>
        <w:t>–</w:t>
      </w:r>
      <w:r w:rsidR="00512738">
        <w:rPr>
          <w:rFonts w:ascii="David" w:hAnsi="David" w:hint="cs"/>
          <w:rtl/>
        </w:rPr>
        <w:t xml:space="preserve"> בו אמנם מתוארת הדירה כש"יחידה צמודה לדירה מספר 1" בקומת הביניים משוייכת לדירה 1, אך מנגד היא נכללת בין שתי דירות דופלקס שבבניין</w:t>
      </w:r>
      <w:r w:rsidR="00975805">
        <w:rPr>
          <w:rFonts w:ascii="David" w:hAnsi="David" w:hint="cs"/>
          <w:rtl/>
        </w:rPr>
        <w:t xml:space="preserve"> (אם דירות נפרדות כאן, לא דופלק</w:t>
      </w:r>
      <w:r w:rsidR="0001073A">
        <w:rPr>
          <w:rFonts w:ascii="David" w:hAnsi="David" w:hint="cs"/>
          <w:rtl/>
        </w:rPr>
        <w:t>ס כאן, וההיפך)</w:t>
      </w:r>
      <w:r w:rsidR="00512738">
        <w:rPr>
          <w:rFonts w:ascii="David" w:hAnsi="David" w:hint="cs"/>
          <w:rtl/>
        </w:rPr>
        <w:t xml:space="preserve">. לא ניתן להשתית </w:t>
      </w:r>
      <w:r w:rsidR="00975805">
        <w:rPr>
          <w:rFonts w:ascii="David" w:hAnsi="David" w:hint="cs"/>
          <w:rtl/>
        </w:rPr>
        <w:t xml:space="preserve">קביעות בדבר טעות על מצע כה דל של עמוד יחיד, שתוכנו אמביוולנטי, מתוך מסמך שכללו בשלמותו אינו לפנינו. פרט </w:t>
      </w:r>
      <w:r w:rsidR="00442D82">
        <w:rPr>
          <w:rFonts w:ascii="David" w:hAnsi="David" w:hint="cs"/>
          <w:rtl/>
        </w:rPr>
        <w:t>ל"ראיה" קלושה זו</w:t>
      </w:r>
      <w:r w:rsidR="00975805">
        <w:rPr>
          <w:rFonts w:ascii="David" w:hAnsi="David" w:hint="cs"/>
          <w:rtl/>
        </w:rPr>
        <w:t xml:space="preserve">, ולדברי המשיבים </w:t>
      </w:r>
      <w:r w:rsidR="00442D82">
        <w:rPr>
          <w:rFonts w:ascii="David" w:hAnsi="David" w:hint="cs"/>
          <w:rtl/>
        </w:rPr>
        <w:t xml:space="preserve">שנמסרו </w:t>
      </w:r>
      <w:r w:rsidR="00975805">
        <w:rPr>
          <w:rFonts w:ascii="David" w:hAnsi="David" w:hint="cs"/>
          <w:rtl/>
        </w:rPr>
        <w:t>שלא בעדות או בתצהיר, לא נפרשו נסיבות וראיות המלמדות על טעות או הטעייה</w:t>
      </w:r>
      <w:r w:rsidR="00442D82">
        <w:rPr>
          <w:rFonts w:ascii="David" w:hAnsi="David" w:hint="cs"/>
          <w:rtl/>
        </w:rPr>
        <w:t>, או מצדיקות את הסרת האחריות לבדיקת הממכר, הכוללת גם התאמה למצב תכנוני.</w:t>
      </w:r>
    </w:p>
    <w:p w:rsidR="00442D82" w:rsidRDefault="00B37E2B" w:rsidP="00D0108C">
      <w:pPr>
        <w:pStyle w:val="ad"/>
        <w:numPr>
          <w:ilvl w:val="0"/>
          <w:numId w:val="1"/>
        </w:numPr>
        <w:spacing w:after="240" w:line="360" w:lineRule="auto"/>
        <w:ind w:left="368"/>
        <w:contextualSpacing w:val="0"/>
        <w:jc w:val="both"/>
        <w:rPr>
          <w:rFonts w:ascii="David" w:hAnsi="David"/>
        </w:rPr>
      </w:pPr>
      <w:r w:rsidRPr="00D82A57">
        <w:rPr>
          <w:rFonts w:ascii="David" w:hAnsi="David"/>
          <w:rtl/>
        </w:rPr>
        <w:lastRenderedPageBreak/>
        <w:t xml:space="preserve">לא </w:t>
      </w:r>
      <w:r w:rsidR="00442D82">
        <w:rPr>
          <w:rFonts w:ascii="David" w:hAnsi="David" w:hint="cs"/>
          <w:rtl/>
        </w:rPr>
        <w:t>הוברר</w:t>
      </w:r>
      <w:r w:rsidR="007F53B5">
        <w:rPr>
          <w:rFonts w:ascii="David" w:hAnsi="David"/>
          <w:rtl/>
        </w:rPr>
        <w:t xml:space="preserve"> </w:t>
      </w:r>
      <w:r w:rsidR="007F53B5">
        <w:rPr>
          <w:rFonts w:ascii="David" w:hAnsi="David" w:hint="cs"/>
          <w:rtl/>
        </w:rPr>
        <w:t xml:space="preserve">הקשר בין </w:t>
      </w:r>
      <w:r w:rsidRPr="00D82A57">
        <w:rPr>
          <w:rFonts w:ascii="David" w:hAnsi="David"/>
          <w:rtl/>
        </w:rPr>
        <w:t>ט</w:t>
      </w:r>
      <w:r w:rsidR="001479BC" w:rsidRPr="00D82A57">
        <w:rPr>
          <w:rFonts w:ascii="David" w:hAnsi="David"/>
          <w:rtl/>
        </w:rPr>
        <w:t>י</w:t>
      </w:r>
      <w:r w:rsidRPr="00D82A57">
        <w:rPr>
          <w:rFonts w:ascii="David" w:hAnsi="David"/>
          <w:rtl/>
        </w:rPr>
        <w:t>פולם המסור של המשיבים ב</w:t>
      </w:r>
      <w:r w:rsidR="001479BC" w:rsidRPr="00D82A57">
        <w:rPr>
          <w:rFonts w:ascii="David" w:hAnsi="David"/>
          <w:rtl/>
        </w:rPr>
        <w:t xml:space="preserve">בנם, המתגורר אתם, </w:t>
      </w:r>
      <w:r w:rsidR="007F53B5">
        <w:rPr>
          <w:rFonts w:ascii="David" w:hAnsi="David" w:hint="cs"/>
          <w:rtl/>
        </w:rPr>
        <w:t xml:space="preserve">לבין </w:t>
      </w:r>
      <w:r w:rsidR="001479BC" w:rsidRPr="00D82A57">
        <w:rPr>
          <w:rFonts w:ascii="David" w:hAnsi="David"/>
          <w:rtl/>
        </w:rPr>
        <w:t>השינוי האסור במבנה ה</w:t>
      </w:r>
      <w:r w:rsidR="00442D82">
        <w:rPr>
          <w:rFonts w:ascii="David" w:hAnsi="David"/>
          <w:rtl/>
        </w:rPr>
        <w:t>דירה וחלוקתה לשתי יחידות נפרדות</w:t>
      </w:r>
      <w:r w:rsidR="00442D82">
        <w:rPr>
          <w:rFonts w:ascii="David" w:hAnsi="David" w:hint="cs"/>
          <w:rtl/>
        </w:rPr>
        <w:t>. לפי שני מכתבים ממינהל הרו</w:t>
      </w:r>
      <w:r w:rsidR="00FF3931">
        <w:rPr>
          <w:rFonts w:ascii="David" w:hAnsi="David" w:hint="cs"/>
          <w:rtl/>
        </w:rPr>
        <w:t xml:space="preserve">וחה העירוני, מאוקטובר 2002 </w:t>
      </w:r>
      <w:r w:rsidR="00384292">
        <w:rPr>
          <w:rFonts w:ascii="David" w:hAnsi="David" w:hint="cs"/>
          <w:rtl/>
        </w:rPr>
        <w:t>[</w:t>
      </w:r>
      <w:r w:rsidR="00FF3931">
        <w:rPr>
          <w:rFonts w:ascii="David" w:hAnsi="David" w:hint="cs"/>
          <w:rtl/>
        </w:rPr>
        <w:t>נ/1</w:t>
      </w:r>
      <w:r w:rsidR="00384292">
        <w:rPr>
          <w:rFonts w:ascii="David" w:hAnsi="David" w:hint="cs"/>
          <w:rtl/>
        </w:rPr>
        <w:t>]</w:t>
      </w:r>
      <w:r w:rsidR="00442D82">
        <w:rPr>
          <w:rFonts w:ascii="David" w:hAnsi="David" w:hint="cs"/>
          <w:rtl/>
        </w:rPr>
        <w:t xml:space="preserve"> וממאי </w:t>
      </w:r>
      <w:r w:rsidR="00FF3931">
        <w:rPr>
          <w:rFonts w:ascii="David" w:hAnsi="David" w:hint="cs"/>
          <w:rtl/>
        </w:rPr>
        <w:t xml:space="preserve">2023 </w:t>
      </w:r>
      <w:r w:rsidR="00384292">
        <w:rPr>
          <w:rFonts w:ascii="David" w:hAnsi="David" w:hint="cs"/>
          <w:rtl/>
        </w:rPr>
        <w:t>[</w:t>
      </w:r>
      <w:r w:rsidR="00FF3931">
        <w:rPr>
          <w:rFonts w:ascii="David" w:hAnsi="David" w:hint="cs"/>
          <w:rtl/>
        </w:rPr>
        <w:t>יסומן עדג/1 וייסרק כחסוי</w:t>
      </w:r>
      <w:r w:rsidR="00384292">
        <w:rPr>
          <w:rFonts w:ascii="David" w:hAnsi="David" w:hint="cs"/>
          <w:rtl/>
        </w:rPr>
        <w:t>]</w:t>
      </w:r>
      <w:r w:rsidR="00FF3931">
        <w:rPr>
          <w:rFonts w:ascii="David" w:hAnsi="David" w:hint="cs"/>
          <w:rtl/>
        </w:rPr>
        <w:t>, ניתן להסיק כי תמיכתם של המשיבים בבן היא הכרח, והחלה עוד בהיותו קטין</w:t>
      </w:r>
      <w:r w:rsidR="007F53B5">
        <w:rPr>
          <w:rFonts w:ascii="David" w:hAnsi="David" w:hint="cs"/>
          <w:rtl/>
        </w:rPr>
        <w:t xml:space="preserve">, אך לכאורה ניתוק הקשר בין חלקי הדירה </w:t>
      </w:r>
      <w:r w:rsidR="00384292">
        <w:rPr>
          <w:rFonts w:ascii="David" w:hAnsi="David" w:hint="cs"/>
          <w:rtl/>
        </w:rPr>
        <w:t>[</w:t>
      </w:r>
      <w:r w:rsidR="007F53B5">
        <w:rPr>
          <w:rFonts w:ascii="David" w:hAnsi="David" w:hint="cs"/>
          <w:rtl/>
        </w:rPr>
        <w:t xml:space="preserve">עוד בהיותו של הבן קטין) אינו משרת דווקא מטרה זו. </w:t>
      </w:r>
    </w:p>
    <w:p w:rsidR="00B37E2B" w:rsidRDefault="004053D8" w:rsidP="00D0108C">
      <w:pPr>
        <w:pStyle w:val="ad"/>
        <w:numPr>
          <w:ilvl w:val="0"/>
          <w:numId w:val="1"/>
        </w:numPr>
        <w:spacing w:after="240" w:line="360" w:lineRule="auto"/>
        <w:ind w:left="368"/>
        <w:contextualSpacing w:val="0"/>
        <w:jc w:val="both"/>
        <w:rPr>
          <w:rFonts w:ascii="David" w:hAnsi="David"/>
        </w:rPr>
      </w:pPr>
      <w:r w:rsidRPr="004053D8">
        <w:rPr>
          <w:rFonts w:ascii="David" w:hAnsi="David" w:hint="cs"/>
          <w:rtl/>
        </w:rPr>
        <w:t xml:space="preserve">ועוד: לא הוברר, מדוע לא הזדרזו המשיבים </w:t>
      </w:r>
      <w:r w:rsidR="00CC36EA">
        <w:rPr>
          <w:rFonts w:ascii="David" w:hAnsi="David" w:hint="cs"/>
          <w:rtl/>
        </w:rPr>
        <w:t xml:space="preserve">ונרתמו </w:t>
      </w:r>
      <w:r w:rsidRPr="004053D8">
        <w:rPr>
          <w:rFonts w:ascii="David" w:hAnsi="David" w:hint="cs"/>
          <w:rtl/>
        </w:rPr>
        <w:t>להסרת המחדל ולהתאמת המצוי למותר, כבר בשלב הראשון של מכתב ההתראה, בשנת 2020</w:t>
      </w:r>
      <w:r w:rsidR="00D66F76">
        <w:rPr>
          <w:rFonts w:ascii="David" w:hAnsi="David" w:hint="cs"/>
          <w:rtl/>
        </w:rPr>
        <w:t xml:space="preserve"> (לדברי המשיב</w:t>
      </w:r>
      <w:r w:rsidR="001F7C7E">
        <w:rPr>
          <w:rFonts w:ascii="David" w:hAnsi="David" w:hint="cs"/>
          <w:rtl/>
        </w:rPr>
        <w:t xml:space="preserve"> בעמ' 14 לפרוטוקול הדיון בביהמ"ש קמא</w:t>
      </w:r>
      <w:r w:rsidR="00D66F76">
        <w:rPr>
          <w:rFonts w:ascii="David" w:hAnsi="David" w:hint="cs"/>
          <w:rtl/>
        </w:rPr>
        <w:t xml:space="preserve">, ההחלטה שלא לפעול כך נעשתה לאחר שיקול ומחשבה, </w:t>
      </w:r>
      <w:r w:rsidR="001F7C7E">
        <w:rPr>
          <w:rFonts w:ascii="David" w:hAnsi="David" w:hint="cs"/>
          <w:rtl/>
        </w:rPr>
        <w:t>שתיקון המעוות יעיד כביכול על הודא</w:t>
      </w:r>
      <w:r w:rsidR="00D66F76">
        <w:rPr>
          <w:rFonts w:ascii="David" w:hAnsi="David" w:hint="cs"/>
          <w:rtl/>
        </w:rPr>
        <w:t>ת</w:t>
      </w:r>
      <w:r w:rsidR="001F7C7E">
        <w:rPr>
          <w:rFonts w:ascii="David" w:hAnsi="David" w:hint="cs"/>
          <w:rtl/>
        </w:rPr>
        <w:t xml:space="preserve"> המשיבים בפסול </w:t>
      </w:r>
      <w:r w:rsidR="0009572A">
        <w:rPr>
          <w:rFonts w:ascii="David" w:hAnsi="David" w:hint="cs"/>
          <w:rtl/>
        </w:rPr>
        <w:t>ש</w:t>
      </w:r>
      <w:r w:rsidR="001F7C7E">
        <w:rPr>
          <w:rFonts w:ascii="David" w:hAnsi="David" w:hint="cs"/>
          <w:rtl/>
        </w:rPr>
        <w:t>במעשים)</w:t>
      </w:r>
      <w:r w:rsidRPr="004053D8">
        <w:rPr>
          <w:rFonts w:ascii="David" w:hAnsi="David" w:hint="cs"/>
          <w:rtl/>
        </w:rPr>
        <w:t xml:space="preserve">; וגם לא הוברר, </w:t>
      </w:r>
      <w:r w:rsidR="001479BC" w:rsidRPr="004053D8">
        <w:rPr>
          <w:rFonts w:ascii="David" w:hAnsi="David"/>
          <w:rtl/>
        </w:rPr>
        <w:t>מדוע לא נלקחה בחשבון טובת ההנאה הכלכלית</w:t>
      </w:r>
      <w:r>
        <w:rPr>
          <w:rFonts w:ascii="David" w:hAnsi="David" w:hint="cs"/>
          <w:rtl/>
        </w:rPr>
        <w:t xml:space="preserve"> שצמחה למשיבים כתוצאה מהשימוש האסור, ולו על-דרך של חיסכון בשכירת דירה נוספת</w:t>
      </w:r>
      <w:r w:rsidR="00D66F76">
        <w:rPr>
          <w:rFonts w:ascii="David" w:hAnsi="David" w:hint="cs"/>
          <w:rtl/>
        </w:rPr>
        <w:t>.</w:t>
      </w:r>
    </w:p>
    <w:p w:rsidR="00FE448E" w:rsidRDefault="00D0108C" w:rsidP="004F6EC6">
      <w:pPr>
        <w:pStyle w:val="ad"/>
        <w:numPr>
          <w:ilvl w:val="0"/>
          <w:numId w:val="1"/>
        </w:numPr>
        <w:spacing w:after="240" w:line="360" w:lineRule="auto"/>
        <w:ind w:left="368"/>
        <w:contextualSpacing w:val="0"/>
        <w:jc w:val="both"/>
        <w:rPr>
          <w:rFonts w:ascii="David" w:hAnsi="David"/>
        </w:rPr>
      </w:pPr>
      <w:r>
        <w:rPr>
          <w:rFonts w:ascii="David" w:hAnsi="David" w:hint="cs"/>
          <w:rtl/>
        </w:rPr>
        <w:t>אסכם ואומר</w:t>
      </w:r>
      <w:r w:rsidR="00071FD4">
        <w:rPr>
          <w:rFonts w:ascii="David" w:hAnsi="David" w:hint="cs"/>
          <w:rtl/>
        </w:rPr>
        <w:t xml:space="preserve"> כי</w:t>
      </w:r>
      <w:r w:rsidR="0009572A">
        <w:rPr>
          <w:rFonts w:ascii="David" w:hAnsi="David" w:hint="cs"/>
          <w:rtl/>
        </w:rPr>
        <w:t xml:space="preserve"> </w:t>
      </w:r>
      <w:r w:rsidR="00830DEB">
        <w:rPr>
          <w:rFonts w:ascii="David" w:hAnsi="David" w:hint="cs"/>
          <w:rtl/>
        </w:rPr>
        <w:t xml:space="preserve">טעמים </w:t>
      </w:r>
      <w:r w:rsidR="004F6EC6">
        <w:rPr>
          <w:rFonts w:ascii="David" w:hAnsi="David" w:hint="cs"/>
          <w:rtl/>
        </w:rPr>
        <w:t xml:space="preserve">אלו </w:t>
      </w:r>
      <w:r w:rsidR="00830DEB">
        <w:rPr>
          <w:rFonts w:ascii="David" w:hAnsi="David" w:hint="cs"/>
          <w:rtl/>
        </w:rPr>
        <w:t xml:space="preserve">להפחתת הקנס מתחת לשיעור הקנס המנהלי, לא בוססו כדבעי ואף אינם עולים כדי "נסיבות מיוחדות", שבכוחן לפרוץ גדר ולהוציא מהכלל את עניינם של המשיבים. מכאן, מחוייבת </w:t>
      </w:r>
      <w:r w:rsidR="004F6EC6">
        <w:rPr>
          <w:rFonts w:ascii="David" w:hAnsi="David" w:hint="cs"/>
          <w:i/>
          <w:iCs/>
          <w:rtl/>
        </w:rPr>
        <w:t>לכאורה</w:t>
      </w:r>
      <w:r>
        <w:rPr>
          <w:rFonts w:ascii="David" w:hAnsi="David" w:hint="cs"/>
          <w:i/>
          <w:iCs/>
          <w:rtl/>
        </w:rPr>
        <w:t xml:space="preserve"> </w:t>
      </w:r>
      <w:r w:rsidR="00830DEB" w:rsidRPr="00D0108C">
        <w:rPr>
          <w:rFonts w:ascii="David" w:hAnsi="David" w:hint="cs"/>
          <w:rtl/>
        </w:rPr>
        <w:t>המסקנה</w:t>
      </w:r>
      <w:r w:rsidR="00FE1957">
        <w:rPr>
          <w:rFonts w:ascii="David" w:hAnsi="David" w:hint="cs"/>
          <w:rtl/>
        </w:rPr>
        <w:t xml:space="preserve"> שלא ראוי ששיעורי הקנסות הפליליים בהם יחוייבו המשיבים יפחתו משיעורי הקנסות המנהליים</w:t>
      </w:r>
      <w:r w:rsidR="00A41FC8">
        <w:rPr>
          <w:rFonts w:ascii="David" w:hAnsi="David" w:hint="cs"/>
          <w:rtl/>
        </w:rPr>
        <w:t xml:space="preserve"> (וכך גם לגבי תחתיתו של מתחם העונש ההולם)</w:t>
      </w:r>
      <w:r w:rsidR="00FE1957">
        <w:rPr>
          <w:rFonts w:ascii="David" w:hAnsi="David" w:hint="cs"/>
          <w:rtl/>
        </w:rPr>
        <w:t>.</w:t>
      </w:r>
      <w:r w:rsidR="00093C9D">
        <w:rPr>
          <w:rFonts w:ascii="David" w:hAnsi="David" w:hint="cs"/>
          <w:rtl/>
        </w:rPr>
        <w:t xml:space="preserve"> </w:t>
      </w:r>
    </w:p>
    <w:p w:rsidR="00610892" w:rsidRPr="00CF0316" w:rsidRDefault="00610892" w:rsidP="00610892">
      <w:pPr>
        <w:spacing w:after="240" w:line="360" w:lineRule="auto"/>
        <w:jc w:val="both"/>
        <w:rPr>
          <w:rFonts w:ascii="David" w:hAnsi="David"/>
        </w:rPr>
      </w:pPr>
      <w:r>
        <w:rPr>
          <w:rFonts w:ascii="David" w:hAnsi="David" w:hint="cs"/>
          <w:u w:val="single"/>
          <w:rtl/>
        </w:rPr>
        <w:t xml:space="preserve">"נסיבה מיוחדת" </w:t>
      </w:r>
      <w:r w:rsidR="00CF0316">
        <w:rPr>
          <w:rFonts w:ascii="David" w:hAnsi="David"/>
          <w:u w:val="single"/>
          <w:rtl/>
        </w:rPr>
        <w:t>–</w:t>
      </w:r>
      <w:r>
        <w:rPr>
          <w:rFonts w:ascii="David" w:hAnsi="David" w:hint="cs"/>
          <w:u w:val="single"/>
          <w:rtl/>
        </w:rPr>
        <w:t xml:space="preserve"> </w:t>
      </w:r>
      <w:r w:rsidR="00CF0316">
        <w:rPr>
          <w:rFonts w:ascii="David" w:hAnsi="David" w:hint="cs"/>
          <w:u w:val="single"/>
          <w:rtl/>
        </w:rPr>
        <w:t>קנסות המעיקים על משק בית אחד</w:t>
      </w:r>
      <w:r w:rsidR="00CF0316">
        <w:rPr>
          <w:rFonts w:ascii="David" w:hAnsi="David" w:hint="cs"/>
          <w:rtl/>
        </w:rPr>
        <w:t>:</w:t>
      </w:r>
    </w:p>
    <w:p w:rsidR="00610892" w:rsidRDefault="00CF0316" w:rsidP="00CF0316">
      <w:pPr>
        <w:pStyle w:val="ad"/>
        <w:numPr>
          <w:ilvl w:val="0"/>
          <w:numId w:val="1"/>
        </w:numPr>
        <w:spacing w:after="240" w:line="360" w:lineRule="auto"/>
        <w:ind w:left="368"/>
        <w:contextualSpacing w:val="0"/>
        <w:jc w:val="both"/>
        <w:rPr>
          <w:rFonts w:ascii="David" w:hAnsi="David"/>
        </w:rPr>
      </w:pPr>
      <w:r>
        <w:rPr>
          <w:rFonts w:ascii="David" w:hAnsi="David" w:hint="cs"/>
          <w:rtl/>
        </w:rPr>
        <w:t>מבין כלל הנתונים שניתן להביא בחשבון, ושאכן נכללו בין שיקוליו של ביהמ"ש קמא, קיים נתון אחד שמצדיק חריגה מהכלל, בין-אם כ</w:t>
      </w:r>
      <w:r w:rsidR="0025080B">
        <w:rPr>
          <w:rFonts w:ascii="David" w:hAnsi="David" w:hint="cs"/>
          <w:rtl/>
        </w:rPr>
        <w:t>"</w:t>
      </w:r>
      <w:r>
        <w:rPr>
          <w:rFonts w:ascii="David" w:hAnsi="David" w:hint="cs"/>
          <w:rtl/>
        </w:rPr>
        <w:t>נסיבה מיוחדת</w:t>
      </w:r>
      <w:r w:rsidR="0025080B">
        <w:rPr>
          <w:rFonts w:ascii="David" w:hAnsi="David" w:hint="cs"/>
          <w:rtl/>
        </w:rPr>
        <w:t>"</w:t>
      </w:r>
      <w:r>
        <w:rPr>
          <w:rFonts w:ascii="David" w:hAnsi="David" w:hint="cs"/>
          <w:rtl/>
        </w:rPr>
        <w:t xml:space="preserve"> לפי סעיף 14 לחוק העבירות המנהליות, ובין-אם כנתון רלוונטי לקביעת מתחם עונשי של קנס, לפי סעיף 40ח לחוק העונשין, והוא </w:t>
      </w:r>
      <w:r w:rsidR="00B375D7">
        <w:rPr>
          <w:rFonts w:ascii="David" w:hAnsi="David" w:hint="cs"/>
          <w:u w:val="single"/>
          <w:rtl/>
        </w:rPr>
        <w:t>חיובו של משק-בית אחד בקנסות שה</w:t>
      </w:r>
      <w:r w:rsidR="006C0F72" w:rsidRPr="00637B88">
        <w:rPr>
          <w:rFonts w:ascii="David" w:hAnsi="David" w:hint="cs"/>
          <w:u w:val="single"/>
          <w:rtl/>
        </w:rPr>
        <w:t>ושתו על שני המשיבים</w:t>
      </w:r>
      <w:r w:rsidR="006C0F72">
        <w:rPr>
          <w:rFonts w:ascii="David" w:hAnsi="David" w:hint="cs"/>
          <w:rtl/>
        </w:rPr>
        <w:t>.</w:t>
      </w:r>
    </w:p>
    <w:p w:rsidR="006C0F72" w:rsidRPr="004E4922" w:rsidRDefault="006C0F72" w:rsidP="00B375D7">
      <w:pPr>
        <w:pStyle w:val="ad"/>
        <w:numPr>
          <w:ilvl w:val="0"/>
          <w:numId w:val="1"/>
        </w:numPr>
        <w:spacing w:after="240" w:line="360" w:lineRule="auto"/>
        <w:ind w:left="368"/>
        <w:contextualSpacing w:val="0"/>
        <w:jc w:val="both"/>
        <w:rPr>
          <w:rFonts w:ascii="David" w:hAnsi="David"/>
          <w:u w:val="single"/>
        </w:rPr>
      </w:pPr>
      <w:r w:rsidRPr="00F5469B">
        <w:rPr>
          <w:rFonts w:ascii="David" w:hAnsi="David" w:hint="cs"/>
          <w:u w:val="single"/>
          <w:rtl/>
        </w:rPr>
        <w:t>לטעמי, יכול נתון זה לשמש כ"נסיבה מיוחדת", הפותחת אפשרות למיתון הקנס</w:t>
      </w:r>
      <w:r w:rsidR="00F5469B">
        <w:rPr>
          <w:rFonts w:ascii="David" w:hAnsi="David" w:hint="cs"/>
          <w:u w:val="single"/>
          <w:rtl/>
        </w:rPr>
        <w:t xml:space="preserve"> אף למטה משיעורו של קנס המנהלי</w:t>
      </w:r>
      <w:r w:rsidRPr="00F5469B">
        <w:rPr>
          <w:rFonts w:ascii="David" w:hAnsi="David" w:hint="cs"/>
          <w:u w:val="single"/>
          <w:rtl/>
        </w:rPr>
        <w:t xml:space="preserve">, בהתקיים תנאים אלו: בני-זוג המקיימים משק-בית משותף, שמצבם הכלכלי </w:t>
      </w:r>
      <w:r w:rsidR="00CC36EA">
        <w:rPr>
          <w:rFonts w:ascii="David" w:hAnsi="David" w:hint="cs"/>
          <w:u w:val="single"/>
          <w:rtl/>
        </w:rPr>
        <w:t>הוכח כ</w:t>
      </w:r>
      <w:r w:rsidRPr="00F5469B">
        <w:rPr>
          <w:rFonts w:ascii="David" w:hAnsi="David" w:hint="cs"/>
          <w:u w:val="single"/>
          <w:rtl/>
        </w:rPr>
        <w:t xml:space="preserve">דחוק, </w:t>
      </w:r>
      <w:r w:rsidR="00637B88" w:rsidRPr="00F5469B">
        <w:rPr>
          <w:rFonts w:ascii="David" w:hAnsi="David" w:hint="cs"/>
          <w:u w:val="single"/>
          <w:rtl/>
        </w:rPr>
        <w:t xml:space="preserve">שהורשעו </w:t>
      </w:r>
      <w:r w:rsidR="00F5469B" w:rsidRPr="00F5469B">
        <w:rPr>
          <w:rFonts w:ascii="David" w:hAnsi="David" w:hint="cs"/>
          <w:u w:val="single"/>
          <w:rtl/>
        </w:rPr>
        <w:t xml:space="preserve">וחויבו בקנסות </w:t>
      </w:r>
      <w:r w:rsidR="00637B88" w:rsidRPr="00F5469B">
        <w:rPr>
          <w:rFonts w:ascii="David" w:hAnsi="David" w:hint="cs"/>
          <w:u w:val="single"/>
          <w:rtl/>
        </w:rPr>
        <w:t>בהליך אחד</w:t>
      </w:r>
      <w:r w:rsidR="00F5469B">
        <w:rPr>
          <w:rFonts w:ascii="David" w:hAnsi="David" w:hint="cs"/>
          <w:u w:val="single"/>
          <w:rtl/>
        </w:rPr>
        <w:t>,</w:t>
      </w:r>
      <w:r w:rsidR="00637B88" w:rsidRPr="00F5469B">
        <w:rPr>
          <w:rFonts w:ascii="David" w:hAnsi="David" w:hint="cs"/>
          <w:u w:val="single"/>
          <w:rtl/>
        </w:rPr>
        <w:t xml:space="preserve"> ב</w:t>
      </w:r>
      <w:r w:rsidR="00EC1F21">
        <w:rPr>
          <w:rFonts w:ascii="David" w:hAnsi="David" w:hint="cs"/>
          <w:u w:val="single"/>
          <w:rtl/>
        </w:rPr>
        <w:t xml:space="preserve">גין </w:t>
      </w:r>
      <w:r w:rsidR="00637B88" w:rsidRPr="00F5469B">
        <w:rPr>
          <w:rFonts w:ascii="David" w:hAnsi="David" w:hint="cs"/>
          <w:u w:val="single"/>
          <w:rtl/>
        </w:rPr>
        <w:t>עבירה לפי חוק התכנון והבניה</w:t>
      </w:r>
      <w:r w:rsidR="00F5469B">
        <w:rPr>
          <w:rFonts w:ascii="David" w:hAnsi="David" w:hint="cs"/>
          <w:u w:val="single"/>
          <w:rtl/>
        </w:rPr>
        <w:t xml:space="preserve">, </w:t>
      </w:r>
      <w:r w:rsidR="00CC36EA">
        <w:rPr>
          <w:rFonts w:ascii="David" w:hAnsi="David" w:hint="cs"/>
          <w:u w:val="single"/>
          <w:rtl/>
        </w:rPr>
        <w:t>שנעבר</w:t>
      </w:r>
      <w:r w:rsidR="00EC1F21">
        <w:rPr>
          <w:rFonts w:ascii="David" w:hAnsi="David" w:hint="cs"/>
          <w:u w:val="single"/>
          <w:rtl/>
        </w:rPr>
        <w:t>ה</w:t>
      </w:r>
      <w:r w:rsidR="00637B88" w:rsidRPr="00F5469B">
        <w:rPr>
          <w:rFonts w:ascii="David" w:hAnsi="David" w:hint="cs"/>
          <w:u w:val="single"/>
          <w:rtl/>
        </w:rPr>
        <w:t xml:space="preserve"> ביחס לדירת מגורים אחת המשמשת למגורי המשפחה</w:t>
      </w:r>
      <w:r w:rsidR="00F5469B">
        <w:rPr>
          <w:rFonts w:ascii="David" w:hAnsi="David" w:hint="cs"/>
          <w:rtl/>
        </w:rPr>
        <w:t>.</w:t>
      </w:r>
      <w:r w:rsidR="0036499F" w:rsidRPr="0036499F">
        <w:rPr>
          <w:rFonts w:ascii="David" w:hAnsi="David" w:hint="cs"/>
          <w:rtl/>
        </w:rPr>
        <w:t xml:space="preserve"> </w:t>
      </w:r>
      <w:r w:rsidR="0036499F">
        <w:rPr>
          <w:rFonts w:ascii="David" w:hAnsi="David" w:hint="cs"/>
          <w:rtl/>
        </w:rPr>
        <w:t xml:space="preserve">פשיטא, שתאגיד לא יכול ליהנות מאפשרות הקלה זו, </w:t>
      </w:r>
      <w:r w:rsidR="009217C4">
        <w:rPr>
          <w:rFonts w:ascii="David" w:hAnsi="David" w:hint="cs"/>
          <w:rtl/>
        </w:rPr>
        <w:t xml:space="preserve">וכך גם עוברי עבירה שעניינה נכס </w:t>
      </w:r>
      <w:r w:rsidR="00CC36EA">
        <w:rPr>
          <w:rFonts w:ascii="David" w:hAnsi="David" w:hint="cs"/>
          <w:rtl/>
        </w:rPr>
        <w:t>של</w:t>
      </w:r>
      <w:r w:rsidR="00EC1F21">
        <w:rPr>
          <w:rFonts w:ascii="David" w:hAnsi="David" w:hint="cs"/>
          <w:rtl/>
        </w:rPr>
        <w:t>א משמש</w:t>
      </w:r>
      <w:r w:rsidR="00CC36EA">
        <w:rPr>
          <w:rFonts w:ascii="David" w:hAnsi="David" w:hint="cs"/>
          <w:rtl/>
        </w:rPr>
        <w:t xml:space="preserve"> למגוריהם</w:t>
      </w:r>
      <w:r w:rsidR="00EC1F21">
        <w:rPr>
          <w:rFonts w:ascii="David" w:hAnsi="David" w:hint="cs"/>
          <w:rtl/>
        </w:rPr>
        <w:t xml:space="preserve"> [והשוו לסעיף ה(1)(א) בהנחיית היו"מ 4.3042, "הסדר מותנה" (3.1.19), </w:t>
      </w:r>
      <w:r w:rsidR="00B375D7">
        <w:rPr>
          <w:rFonts w:ascii="David" w:hAnsi="David" w:hint="cs"/>
          <w:rtl/>
        </w:rPr>
        <w:t xml:space="preserve">שעניינו בעבירה לפי חוק התכנון והבניה </w:t>
      </w:r>
      <w:r w:rsidR="00B375D7">
        <w:rPr>
          <w:rtl/>
        </w:rPr>
        <w:t>על ידי בני זוג שהם בעלי הבנין ומנהלים משק בית משותף</w:t>
      </w:r>
      <w:r w:rsidR="00B375D7" w:rsidRPr="00B375D7">
        <w:rPr>
          <w:rFonts w:ascii="David" w:hAnsi="David" w:hint="cs"/>
          <w:rtl/>
        </w:rPr>
        <w:t>].</w:t>
      </w:r>
    </w:p>
    <w:p w:rsidR="004E4922" w:rsidRPr="00F5469B" w:rsidRDefault="004E4922" w:rsidP="00F517B6">
      <w:pPr>
        <w:pStyle w:val="ad"/>
        <w:numPr>
          <w:ilvl w:val="0"/>
          <w:numId w:val="1"/>
        </w:numPr>
        <w:spacing w:after="240" w:line="360" w:lineRule="auto"/>
        <w:ind w:left="368"/>
        <w:contextualSpacing w:val="0"/>
        <w:jc w:val="both"/>
        <w:rPr>
          <w:rFonts w:ascii="David" w:hAnsi="David"/>
          <w:u w:val="single"/>
        </w:rPr>
      </w:pPr>
      <w:r>
        <w:rPr>
          <w:rFonts w:ascii="David" w:hAnsi="David" w:hint="cs"/>
          <w:noProof w:val="0"/>
          <w:rtl/>
        </w:rPr>
        <w:t xml:space="preserve">עיקרה של מלאכת האיזון בין אינטרס הציבור, המגולם בחוק ומובע בפסיקה (וראו סעיפים 17-19 לעיל), לבין האינטרס הצר יותר של נאשמים, היא שקלולם של הערכים המתנגשים כך </w:t>
      </w:r>
      <w:r>
        <w:rPr>
          <w:rFonts w:ascii="David" w:hAnsi="David" w:hint="cs"/>
          <w:noProof w:val="0"/>
          <w:rtl/>
        </w:rPr>
        <w:lastRenderedPageBreak/>
        <w:t xml:space="preserve">שמחד גיסא תימנע פגיעה כלכלית קיצונית והרסנית בנאשם, אך מאידך גיסא לא יאבד ההסדר החקיקתי מכוחו </w:t>
      </w:r>
      <w:r w:rsidRPr="00AD5A42">
        <w:rPr>
          <w:rFonts w:ascii="David" w:hAnsi="David"/>
          <w:noProof w:val="0"/>
          <w:rtl/>
        </w:rPr>
        <w:t>לגדור גדר לפיתוי ולשלול את הכדאיות הכלכלית בביצוע עבירות</w:t>
      </w:r>
      <w:r>
        <w:rPr>
          <w:rFonts w:ascii="David" w:hAnsi="David" w:hint="cs"/>
          <w:noProof w:val="0"/>
          <w:rtl/>
        </w:rPr>
        <w:t>, ו</w:t>
      </w:r>
      <w:r w:rsidRPr="00AD5A42">
        <w:rPr>
          <w:rFonts w:ascii="David" w:hAnsi="David"/>
          <w:noProof w:val="0"/>
          <w:rtl/>
        </w:rPr>
        <w:t>לעודד תשלום קנס</w:t>
      </w:r>
      <w:r>
        <w:rPr>
          <w:rFonts w:ascii="David" w:hAnsi="David" w:hint="cs"/>
          <w:noProof w:val="0"/>
          <w:rtl/>
        </w:rPr>
        <w:t>ות</w:t>
      </w:r>
      <w:r w:rsidR="00BC118A">
        <w:rPr>
          <w:rFonts w:ascii="David" w:hAnsi="David"/>
          <w:noProof w:val="0"/>
          <w:rtl/>
        </w:rPr>
        <w:t xml:space="preserve"> ללא התדיינו</w:t>
      </w:r>
      <w:r w:rsidR="00BC118A">
        <w:rPr>
          <w:rFonts w:ascii="David" w:hAnsi="David" w:hint="cs"/>
          <w:noProof w:val="0"/>
          <w:rtl/>
        </w:rPr>
        <w:t>ת.</w:t>
      </w:r>
    </w:p>
    <w:p w:rsidR="00CD5A34" w:rsidRPr="00CD5A34" w:rsidRDefault="00CD5A34" w:rsidP="00CD5A34">
      <w:pPr>
        <w:spacing w:after="240" w:line="360" w:lineRule="auto"/>
        <w:jc w:val="both"/>
        <w:rPr>
          <w:rFonts w:ascii="David" w:hAnsi="David"/>
        </w:rPr>
      </w:pPr>
      <w:r>
        <w:rPr>
          <w:rFonts w:ascii="David" w:hAnsi="David" w:hint="cs"/>
          <w:b/>
          <w:bCs/>
          <w:u w:val="single"/>
          <w:rtl/>
        </w:rPr>
        <w:t>סוף-דבר</w:t>
      </w:r>
      <w:r>
        <w:rPr>
          <w:rFonts w:ascii="David" w:hAnsi="David" w:hint="cs"/>
          <w:rtl/>
        </w:rPr>
        <w:t>:</w:t>
      </w:r>
    </w:p>
    <w:p w:rsidR="00273EFF" w:rsidRDefault="00FE1957" w:rsidP="00AB077B">
      <w:pPr>
        <w:pStyle w:val="ad"/>
        <w:numPr>
          <w:ilvl w:val="0"/>
          <w:numId w:val="1"/>
        </w:numPr>
        <w:spacing w:after="240" w:line="360" w:lineRule="auto"/>
        <w:ind w:left="368"/>
        <w:contextualSpacing w:val="0"/>
        <w:jc w:val="both"/>
        <w:rPr>
          <w:rFonts w:ascii="David" w:hAnsi="David"/>
        </w:rPr>
      </w:pPr>
      <w:r>
        <w:rPr>
          <w:rFonts w:ascii="David" w:hAnsi="David" w:hint="cs"/>
          <w:rtl/>
        </w:rPr>
        <w:t>במקרה דנן, מוצדקת מידת המתינות</w:t>
      </w:r>
      <w:r w:rsidR="00B00DEC">
        <w:rPr>
          <w:rFonts w:ascii="David" w:hAnsi="David" w:hint="cs"/>
          <w:rtl/>
        </w:rPr>
        <w:t xml:space="preserve"> המכוונת </w:t>
      </w:r>
      <w:r w:rsidR="00AE6A9F">
        <w:rPr>
          <w:rFonts w:ascii="David" w:hAnsi="David" w:hint="cs"/>
          <w:rtl/>
        </w:rPr>
        <w:t xml:space="preserve">ככלל </w:t>
      </w:r>
      <w:r w:rsidR="00B00DEC">
        <w:rPr>
          <w:rFonts w:ascii="David" w:hAnsi="David" w:hint="cs"/>
          <w:rtl/>
        </w:rPr>
        <w:t>לעונשים הקרובים לשיעור הקנס המנהלי ולא עולים עליו בהרבה</w:t>
      </w:r>
      <w:r w:rsidR="00AB077B">
        <w:rPr>
          <w:rFonts w:ascii="David" w:hAnsi="David" w:hint="cs"/>
          <w:rtl/>
        </w:rPr>
        <w:t xml:space="preserve"> (ולכן אין צורך בקביעת מתחם עונשי במסגרת ערעור זה)</w:t>
      </w:r>
      <w:r w:rsidR="00B00DEC">
        <w:rPr>
          <w:rFonts w:ascii="David" w:hAnsi="David" w:hint="cs"/>
          <w:rtl/>
        </w:rPr>
        <w:t xml:space="preserve">. </w:t>
      </w:r>
      <w:r w:rsidR="00446F2E">
        <w:rPr>
          <w:rFonts w:ascii="David" w:hAnsi="David" w:hint="cs"/>
          <w:rtl/>
        </w:rPr>
        <w:t xml:space="preserve">אך יתירה מזו </w:t>
      </w:r>
      <w:r w:rsidR="00446F2E">
        <w:rPr>
          <w:rFonts w:ascii="David" w:hAnsi="David"/>
          <w:rtl/>
        </w:rPr>
        <w:t>–</w:t>
      </w:r>
      <w:r w:rsidR="00446F2E">
        <w:rPr>
          <w:rFonts w:ascii="David" w:hAnsi="David" w:hint="cs"/>
          <w:rtl/>
        </w:rPr>
        <w:t xml:space="preserve"> </w:t>
      </w:r>
      <w:r w:rsidR="00AB077B">
        <w:rPr>
          <w:rFonts w:ascii="David" w:hAnsi="David" w:hint="cs"/>
          <w:rtl/>
        </w:rPr>
        <w:t xml:space="preserve">לעובדת </w:t>
      </w:r>
      <w:r w:rsidR="00446F2E">
        <w:rPr>
          <w:rFonts w:ascii="David" w:hAnsi="David" w:hint="cs"/>
          <w:rtl/>
        </w:rPr>
        <w:t xml:space="preserve">חיובו של משק-בית אחד בשני קנסות, יש משקל </w:t>
      </w:r>
      <w:r w:rsidR="00273EFF">
        <w:rPr>
          <w:rFonts w:ascii="David" w:hAnsi="David" w:hint="cs"/>
          <w:rtl/>
        </w:rPr>
        <w:t>נכבד:</w:t>
      </w:r>
      <w:r w:rsidR="00273EFF" w:rsidRPr="00273EFF">
        <w:rPr>
          <w:rFonts w:ascii="David" w:hAnsi="David" w:hint="cs"/>
          <w:rtl/>
        </w:rPr>
        <w:t xml:space="preserve"> </w:t>
      </w:r>
    </w:p>
    <w:p w:rsidR="009A4707" w:rsidRDefault="00273EFF" w:rsidP="004A24AC">
      <w:pPr>
        <w:pStyle w:val="ad"/>
        <w:numPr>
          <w:ilvl w:val="0"/>
          <w:numId w:val="7"/>
        </w:numPr>
        <w:spacing w:after="240" w:line="360" w:lineRule="auto"/>
        <w:contextualSpacing w:val="0"/>
        <w:jc w:val="both"/>
        <w:rPr>
          <w:rFonts w:ascii="David" w:hAnsi="David"/>
          <w:noProof w:val="0"/>
        </w:rPr>
      </w:pPr>
      <w:r>
        <w:rPr>
          <w:rFonts w:ascii="David" w:hAnsi="David" w:hint="cs"/>
          <w:noProof w:val="0"/>
          <w:rtl/>
        </w:rPr>
        <w:t>מתקיימים במשיבים תנאי</w:t>
      </w:r>
      <w:r w:rsidR="004A24AC">
        <w:rPr>
          <w:rFonts w:ascii="David" w:hAnsi="David" w:hint="cs"/>
          <w:noProof w:val="0"/>
          <w:rtl/>
        </w:rPr>
        <w:t xml:space="preserve">ה של נסיבה מיוחדת, כאמור לעיל, שכן הם </w:t>
      </w:r>
      <w:r w:rsidRPr="00273EFF">
        <w:rPr>
          <w:rFonts w:ascii="David" w:hAnsi="David" w:hint="cs"/>
          <w:noProof w:val="0"/>
          <w:rtl/>
        </w:rPr>
        <w:t>בני-זוג המקיימים משק-בית משותף, שמצבם הכלכלי הוכח כדחוק, שהורשעו וחויבו בקנסות בהליך אחד, בגין עבירה לפי חוק התכנון והבניה, שנעברה ביחס לדירת מגורים אחת המשמשת למגורי המשפחה</w:t>
      </w:r>
      <w:r w:rsidR="004A24AC">
        <w:rPr>
          <w:rFonts w:ascii="David" w:hAnsi="David" w:hint="cs"/>
          <w:noProof w:val="0"/>
          <w:rtl/>
        </w:rPr>
        <w:t>;</w:t>
      </w:r>
    </w:p>
    <w:p w:rsidR="004A24AC" w:rsidRDefault="004A24AC" w:rsidP="00AB077B">
      <w:pPr>
        <w:pStyle w:val="ad"/>
        <w:numPr>
          <w:ilvl w:val="0"/>
          <w:numId w:val="7"/>
        </w:numPr>
        <w:spacing w:after="240" w:line="360" w:lineRule="auto"/>
        <w:contextualSpacing w:val="0"/>
        <w:jc w:val="both"/>
        <w:rPr>
          <w:rFonts w:ascii="David" w:hAnsi="David"/>
          <w:noProof w:val="0"/>
        </w:rPr>
      </w:pPr>
      <w:r>
        <w:rPr>
          <w:rFonts w:ascii="David" w:hAnsi="David" w:hint="cs"/>
          <w:noProof w:val="0"/>
          <w:rtl/>
        </w:rPr>
        <w:t xml:space="preserve">עוצמת רכיביה של נסיבה זו, </w:t>
      </w:r>
      <w:r w:rsidR="00C653B4">
        <w:rPr>
          <w:rFonts w:ascii="David" w:hAnsi="David" w:hint="cs"/>
          <w:noProof w:val="0"/>
          <w:rtl/>
        </w:rPr>
        <w:t xml:space="preserve">בדגש על </w:t>
      </w:r>
      <w:r>
        <w:rPr>
          <w:rFonts w:ascii="David" w:hAnsi="David" w:hint="cs"/>
          <w:noProof w:val="0"/>
          <w:rtl/>
        </w:rPr>
        <w:t xml:space="preserve">מצבם הכלכלי </w:t>
      </w:r>
      <w:r w:rsidR="00C653B4">
        <w:rPr>
          <w:rFonts w:ascii="David" w:hAnsi="David" w:hint="cs"/>
          <w:noProof w:val="0"/>
          <w:rtl/>
        </w:rPr>
        <w:t xml:space="preserve">הנוכחי </w:t>
      </w:r>
      <w:r w:rsidR="00AB077B">
        <w:rPr>
          <w:rFonts w:ascii="David" w:hAnsi="David" w:hint="cs"/>
          <w:noProof w:val="0"/>
          <w:rtl/>
        </w:rPr>
        <w:t>והעתיד</w:t>
      </w:r>
      <w:r w:rsidR="00C653B4">
        <w:rPr>
          <w:rFonts w:ascii="David" w:hAnsi="David" w:hint="cs"/>
          <w:noProof w:val="0"/>
          <w:rtl/>
        </w:rPr>
        <w:t xml:space="preserve">י </w:t>
      </w:r>
      <w:r>
        <w:rPr>
          <w:rFonts w:ascii="David" w:hAnsi="David" w:hint="cs"/>
          <w:noProof w:val="0"/>
          <w:rtl/>
        </w:rPr>
        <w:t>של המשיבים</w:t>
      </w:r>
      <w:r w:rsidR="00C653B4">
        <w:rPr>
          <w:rFonts w:ascii="David" w:hAnsi="David" w:hint="cs"/>
          <w:noProof w:val="0"/>
          <w:rtl/>
        </w:rPr>
        <w:t xml:space="preserve">, </w:t>
      </w:r>
      <w:r>
        <w:rPr>
          <w:rFonts w:ascii="David" w:hAnsi="David" w:hint="cs"/>
          <w:noProof w:val="0"/>
          <w:rtl/>
        </w:rPr>
        <w:t xml:space="preserve">לרבות המגבלות הרפואיות והאחרות </w:t>
      </w:r>
      <w:r w:rsidR="00C653B4">
        <w:rPr>
          <w:rFonts w:ascii="David" w:hAnsi="David" w:hint="cs"/>
          <w:noProof w:val="0"/>
          <w:rtl/>
        </w:rPr>
        <w:t xml:space="preserve">על </w:t>
      </w:r>
      <w:r>
        <w:rPr>
          <w:rFonts w:ascii="David" w:hAnsi="David" w:hint="cs"/>
          <w:noProof w:val="0"/>
          <w:rtl/>
        </w:rPr>
        <w:t>יכולות ההשתכרות שלהם</w:t>
      </w:r>
      <w:r w:rsidR="00C653B4">
        <w:rPr>
          <w:rFonts w:ascii="David" w:hAnsi="David" w:hint="cs"/>
          <w:noProof w:val="0"/>
          <w:rtl/>
        </w:rPr>
        <w:t xml:space="preserve"> והצפי להמשך תמיכתם בבנם</w:t>
      </w:r>
      <w:r>
        <w:rPr>
          <w:rFonts w:ascii="David" w:hAnsi="David" w:hint="cs"/>
          <w:noProof w:val="0"/>
          <w:rtl/>
        </w:rPr>
        <w:t>, תצדיק הקלה משמעותית של-ממש בסכומי הקנסות בהם יחויבו;</w:t>
      </w:r>
    </w:p>
    <w:p w:rsidR="00FE448E" w:rsidRDefault="00AB077B" w:rsidP="00F517B6">
      <w:pPr>
        <w:pStyle w:val="ad"/>
        <w:numPr>
          <w:ilvl w:val="0"/>
          <w:numId w:val="1"/>
        </w:numPr>
        <w:spacing w:after="240" w:line="360" w:lineRule="auto"/>
        <w:ind w:left="368"/>
        <w:contextualSpacing w:val="0"/>
        <w:jc w:val="both"/>
        <w:rPr>
          <w:rFonts w:ascii="David" w:hAnsi="David"/>
        </w:rPr>
      </w:pPr>
      <w:r>
        <w:rPr>
          <w:rFonts w:ascii="David" w:hAnsi="David" w:hint="cs"/>
          <w:rtl/>
        </w:rPr>
        <w:t xml:space="preserve">הערעור יתקבל (חלקית): </w:t>
      </w:r>
      <w:r w:rsidR="00CD5A34">
        <w:rPr>
          <w:rFonts w:ascii="David" w:hAnsi="David" w:hint="cs"/>
          <w:rtl/>
        </w:rPr>
        <w:t xml:space="preserve">אתחשב בכל נתון מקל, </w:t>
      </w:r>
      <w:r w:rsidR="00BC118A">
        <w:rPr>
          <w:rFonts w:ascii="David" w:hAnsi="David" w:hint="cs"/>
          <w:rtl/>
        </w:rPr>
        <w:t>וכדרכה של ערכאת ערעור</w:t>
      </w:r>
      <w:r w:rsidR="003C4DC9">
        <w:rPr>
          <w:rFonts w:ascii="David" w:hAnsi="David" w:hint="cs"/>
          <w:rtl/>
        </w:rPr>
        <w:t xml:space="preserve"> לא אמצה את הדין, </w:t>
      </w:r>
      <w:r w:rsidR="00A41FC8">
        <w:rPr>
          <w:rFonts w:ascii="David" w:hAnsi="David" w:hint="cs"/>
          <w:rtl/>
        </w:rPr>
        <w:t>ו</w:t>
      </w:r>
      <w:r w:rsidR="00A41FC8" w:rsidRPr="00AB077B">
        <w:rPr>
          <w:rFonts w:ascii="David" w:hAnsi="David" w:hint="cs"/>
          <w:u w:val="single"/>
          <w:rtl/>
        </w:rPr>
        <w:t>העונש שיוטל על כל משיב יהא</w:t>
      </w:r>
      <w:r w:rsidR="00F517B6" w:rsidRPr="00AB077B">
        <w:rPr>
          <w:rFonts w:ascii="David" w:hAnsi="David" w:hint="cs"/>
          <w:u w:val="single"/>
          <w:rtl/>
        </w:rPr>
        <w:t xml:space="preserve"> קנס בסך 15,000 </w:t>
      </w:r>
      <w:r w:rsidR="00A41FC8" w:rsidRPr="00AB077B">
        <w:rPr>
          <w:rFonts w:ascii="David" w:hAnsi="David" w:hint="cs"/>
          <w:u w:val="single"/>
          <w:rtl/>
        </w:rPr>
        <w:t>₪</w:t>
      </w:r>
      <w:r w:rsidR="00A41FC8">
        <w:rPr>
          <w:rFonts w:ascii="David" w:hAnsi="David" w:hint="cs"/>
          <w:rtl/>
        </w:rPr>
        <w:t>. כל קנס ישולם ב-</w:t>
      </w:r>
      <w:r w:rsidR="00F517B6">
        <w:rPr>
          <w:rFonts w:ascii="David" w:hAnsi="David" w:hint="cs"/>
          <w:rtl/>
        </w:rPr>
        <w:t>15</w:t>
      </w:r>
      <w:r w:rsidR="00A41FC8">
        <w:rPr>
          <w:rFonts w:ascii="David" w:hAnsi="David" w:hint="cs"/>
          <w:rtl/>
        </w:rPr>
        <w:t xml:space="preserve"> תשלומים חודשיים, שווים ורצופים, שהראשון שבהם לא יאוחר מיום 01</w:t>
      </w:r>
      <w:r w:rsidR="00AE6A9F">
        <w:rPr>
          <w:rFonts w:ascii="David" w:hAnsi="David" w:hint="cs"/>
          <w:rtl/>
        </w:rPr>
        <w:t>.08.23 (ככל ששולם תשלום עד-עתה, ינוכה מסכומי הקנסות).</w:t>
      </w:r>
    </w:p>
    <w:p w:rsidR="00A41FC8" w:rsidRDefault="00A41FC8" w:rsidP="00D82A57">
      <w:pPr>
        <w:pStyle w:val="ad"/>
        <w:numPr>
          <w:ilvl w:val="0"/>
          <w:numId w:val="1"/>
        </w:numPr>
        <w:spacing w:after="240" w:line="360" w:lineRule="auto"/>
        <w:ind w:left="368"/>
        <w:contextualSpacing w:val="0"/>
        <w:jc w:val="both"/>
        <w:rPr>
          <w:rFonts w:ascii="David" w:hAnsi="David"/>
        </w:rPr>
      </w:pPr>
      <w:r>
        <w:rPr>
          <w:rFonts w:ascii="David" w:hAnsi="David" w:hint="cs"/>
          <w:rtl/>
        </w:rPr>
        <w:t>ביתר חלקיו של גזר הדין, לרבות האורכה לביצוע הצווים, לא יחול שינוי.</w:t>
      </w:r>
    </w:p>
    <w:p w:rsidR="007436E1" w:rsidRPr="007436E1" w:rsidRDefault="007436E1" w:rsidP="007436E1">
      <w:pPr>
        <w:spacing w:after="240" w:line="360" w:lineRule="auto"/>
        <w:jc w:val="both"/>
        <w:rPr>
          <w:rFonts w:ascii="David" w:hAnsi="David"/>
        </w:rPr>
      </w:pPr>
      <w:r>
        <w:rPr>
          <w:rFonts w:ascii="David" w:hAnsi="David" w:hint="cs"/>
          <w:rtl/>
        </w:rPr>
        <w:t>מזכירות: נא להעביר עותקי פסק הדין לב"כ הצדדים.</w:t>
      </w:r>
    </w:p>
    <w:p w:rsidR="00694556" w:rsidRDefault="0043502B" w:rsidP="00BC118A">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r w:rsidR="00BC118A">
        <w:rPr>
          <w:rFonts w:ascii="Arial" w:hAnsi="Arial" w:hint="cs"/>
          <w:noProof w:val="0"/>
          <w:rtl/>
        </w:rPr>
        <w:t>ח</w:t>
      </w:r>
      <w:r w:rsidR="007436E1">
        <w:rPr>
          <w:rFonts w:ascii="Arial" w:hAnsi="Arial" w:hint="cs"/>
          <w:noProof w:val="0"/>
          <w:rtl/>
        </w:rPr>
        <w:t>' תמוז</w:t>
      </w:r>
      <w:r>
        <w:rPr>
          <w:rFonts w:ascii="Arial" w:hAnsi="Arial"/>
          <w:noProof w:val="0"/>
          <w:rtl/>
        </w:rPr>
        <w:t xml:space="preserve"> תשפ"ג</w:t>
      </w:r>
      <w:r w:rsidR="00005C8B">
        <w:rPr>
          <w:rFonts w:ascii="Arial" w:hAnsi="Arial"/>
          <w:noProof w:val="0"/>
          <w:rtl/>
        </w:rPr>
        <w:t xml:space="preserve">, </w:t>
      </w:r>
      <w:r w:rsidR="007436E1">
        <w:rPr>
          <w:rFonts w:ascii="Arial" w:hAnsi="Arial" w:hint="cs"/>
          <w:noProof w:val="0"/>
          <w:rtl/>
        </w:rPr>
        <w:t>2</w:t>
      </w:r>
      <w:r w:rsidR="00BC118A">
        <w:rPr>
          <w:rFonts w:ascii="Arial" w:hAnsi="Arial" w:hint="cs"/>
          <w:noProof w:val="0"/>
          <w:rtl/>
        </w:rPr>
        <w:t>7</w:t>
      </w:r>
      <w:r>
        <w:rPr>
          <w:rFonts w:ascii="Arial" w:hAnsi="Arial"/>
          <w:noProof w:val="0"/>
          <w:rtl/>
        </w:rPr>
        <w:t xml:space="preserve"> יוני 2023</w:t>
      </w:r>
      <w:r w:rsidR="00005C8B">
        <w:rPr>
          <w:rFonts w:ascii="Arial" w:hAnsi="Arial"/>
          <w:noProof w:val="0"/>
          <w:rtl/>
        </w:rPr>
        <w:t>, בהעדר הצדדים.</w:t>
      </w:r>
    </w:p>
    <w:p w:rsidR="00C43648" w:rsidRDefault="00A6640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25767383"/>
        </w:sdtPr>
        <w:sdtEndPr/>
        <w:sdtContent>
          <w:r w:rsidR="00EA6179">
            <w:drawing>
              <wp:inline distT="0" distB="0" distL="0" distR="0" wp14:editId="50D07946">
                <wp:extent cx="1562100"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562100" cy="1152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5"/>
      <w:headerReference w:type="default" r:id="rId16"/>
      <w:footerReference w:type="even" r:id="rId17"/>
      <w:footerReference w:type="default" r:id="rId18"/>
      <w:headerReference w:type="first" r:id="rId19"/>
      <w:footerReference w:type="first" r:id="rId20"/>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40A" w:rsidRDefault="00A6640A">
      <w:r>
        <w:separator/>
      </w:r>
    </w:p>
  </w:endnote>
  <w:endnote w:type="continuationSeparator" w:id="0">
    <w:p w:rsidR="00A6640A" w:rsidRDefault="00A6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F" w:rsidRDefault="00C16B0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9344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9344B">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F" w:rsidRDefault="00C16B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40A" w:rsidRDefault="00A6640A">
      <w:r>
        <w:separator/>
      </w:r>
    </w:p>
  </w:footnote>
  <w:footnote w:type="continuationSeparator" w:id="0">
    <w:p w:rsidR="00A6640A" w:rsidRDefault="00A66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F" w:rsidRDefault="00C16B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6640A" w:rsidP="007C2453">
          <w:pPr>
            <w:rPr>
              <w:b/>
              <w:bCs/>
              <w:noProof w:val="0"/>
              <w:sz w:val="26"/>
              <w:szCs w:val="26"/>
              <w:rtl/>
            </w:rPr>
          </w:pPr>
          <w:sdt>
            <w:sdtPr>
              <w:rPr>
                <w:rtl/>
              </w:rPr>
              <w:alias w:val="1170"/>
              <w:tag w:val="1170"/>
              <w:id w:val="1066377040"/>
              <w:text w:multiLine="1"/>
            </w:sdtPr>
            <w:sdtEndPr/>
            <w:sdtContent>
              <w:r w:rsidR="00B859C5">
                <w:rPr>
                  <w:b/>
                  <w:bCs/>
                  <w:noProof w:val="0"/>
                  <w:sz w:val="26"/>
                  <w:szCs w:val="26"/>
                  <w:rtl/>
                </w:rPr>
                <w:t>עפמ"ק</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68831-01-23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ועדה מקומית לתיכנון ובניה - נתניה נ' ברכה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7D45E3" w:rsidP="00992A12">
          <w:pPr>
            <w:rPr>
              <w:sz w:val="20"/>
              <w:szCs w:val="20"/>
              <w:rtl/>
            </w:rPr>
          </w:pPr>
          <w:r>
            <w:rPr>
              <w:rFonts w:hint="cs"/>
              <w:rtl/>
            </w:rPr>
            <w:t xml:space="preserve">                           </w:t>
          </w:r>
          <w:r>
            <w:rPr>
              <w:rFonts w:hint="cs"/>
              <w:sz w:val="20"/>
              <w:szCs w:val="20"/>
              <w:rtl/>
            </w:rPr>
            <w:t xml:space="preserve">                                       </w:t>
          </w:r>
        </w:p>
      </w:tc>
    </w:tr>
  </w:tbl>
  <w:p w:rsidR="00694556" w:rsidRDefault="00694556" w:rsidP="00992A12">
    <w:pPr>
      <w:pStyle w:val="a3"/>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6B0F" w:rsidRDefault="00C16B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30320"/>
    <w:multiLevelType w:val="hybridMultilevel"/>
    <w:tmpl w:val="C3AADAE0"/>
    <w:lvl w:ilvl="0" w:tplc="D4D8EE94">
      <w:start w:val="1"/>
      <w:numFmt w:val="decimal"/>
      <w:lvlText w:val="%1."/>
      <w:lvlJc w:val="left"/>
      <w:pPr>
        <w:ind w:left="1069" w:hanging="360"/>
      </w:pPr>
      <w:rPr>
        <w:b w:val="0"/>
        <w:bCs w:val="0"/>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1" w15:restartNumberingAfterBreak="0">
    <w:nsid w:val="2D95565C"/>
    <w:multiLevelType w:val="hybridMultilevel"/>
    <w:tmpl w:val="C3AADAE0"/>
    <w:lvl w:ilvl="0" w:tplc="D4D8EE9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C1C3A1D"/>
    <w:multiLevelType w:val="hybridMultilevel"/>
    <w:tmpl w:val="465EFA88"/>
    <w:lvl w:ilvl="0" w:tplc="04090013">
      <w:start w:val="1"/>
      <w:numFmt w:val="hebrew1"/>
      <w:lvlText w:val="%1."/>
      <w:lvlJc w:val="center"/>
      <w:pPr>
        <w:ind w:left="728" w:hanging="360"/>
      </w:pPr>
      <w:rPr>
        <w:b w:val="0"/>
        <w:bCs w:val="0"/>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abstractNum w:abstractNumId="3" w15:restartNumberingAfterBreak="0">
    <w:nsid w:val="3F7E0CA8"/>
    <w:multiLevelType w:val="hybridMultilevel"/>
    <w:tmpl w:val="84263360"/>
    <w:lvl w:ilvl="0" w:tplc="D4D8EE94">
      <w:start w:val="1"/>
      <w:numFmt w:val="decimal"/>
      <w:lvlText w:val="%1."/>
      <w:lvlJc w:val="left"/>
      <w:pPr>
        <w:ind w:left="726" w:hanging="360"/>
      </w:pPr>
      <w:rPr>
        <w:b w:val="0"/>
        <w:bCs w:val="0"/>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4" w15:restartNumberingAfterBreak="0">
    <w:nsid w:val="7A026BA1"/>
    <w:multiLevelType w:val="hybridMultilevel"/>
    <w:tmpl w:val="465EFA88"/>
    <w:lvl w:ilvl="0" w:tplc="04090013">
      <w:start w:val="1"/>
      <w:numFmt w:val="hebrew1"/>
      <w:lvlText w:val="%1."/>
      <w:lvlJc w:val="center"/>
      <w:pPr>
        <w:ind w:left="728" w:hanging="360"/>
      </w:pPr>
      <w:rPr>
        <w:b w:val="0"/>
        <w:bCs w:val="0"/>
      </w:rPr>
    </w:lvl>
    <w:lvl w:ilvl="1" w:tplc="04090019">
      <w:start w:val="1"/>
      <w:numFmt w:val="lowerLetter"/>
      <w:lvlText w:val="%2."/>
      <w:lvlJc w:val="left"/>
      <w:pPr>
        <w:ind w:left="1448" w:hanging="360"/>
      </w:pPr>
    </w:lvl>
    <w:lvl w:ilvl="2" w:tplc="0409001B">
      <w:start w:val="1"/>
      <w:numFmt w:val="lowerRoman"/>
      <w:lvlText w:val="%3."/>
      <w:lvlJc w:val="right"/>
      <w:pPr>
        <w:ind w:left="2168" w:hanging="180"/>
      </w:pPr>
    </w:lvl>
    <w:lvl w:ilvl="3" w:tplc="0409000F">
      <w:start w:val="1"/>
      <w:numFmt w:val="decimal"/>
      <w:lvlText w:val="%4."/>
      <w:lvlJc w:val="left"/>
      <w:pPr>
        <w:ind w:left="2888" w:hanging="360"/>
      </w:pPr>
    </w:lvl>
    <w:lvl w:ilvl="4" w:tplc="04090019">
      <w:start w:val="1"/>
      <w:numFmt w:val="lowerLetter"/>
      <w:lvlText w:val="%5."/>
      <w:lvlJc w:val="left"/>
      <w:pPr>
        <w:ind w:left="3608" w:hanging="360"/>
      </w:pPr>
    </w:lvl>
    <w:lvl w:ilvl="5" w:tplc="0409001B">
      <w:start w:val="1"/>
      <w:numFmt w:val="lowerRoman"/>
      <w:lvlText w:val="%6."/>
      <w:lvlJc w:val="right"/>
      <w:pPr>
        <w:ind w:left="4328" w:hanging="180"/>
      </w:pPr>
    </w:lvl>
    <w:lvl w:ilvl="6" w:tplc="0409000F">
      <w:start w:val="1"/>
      <w:numFmt w:val="decimal"/>
      <w:lvlText w:val="%7."/>
      <w:lvlJc w:val="left"/>
      <w:pPr>
        <w:ind w:left="5048" w:hanging="360"/>
      </w:pPr>
    </w:lvl>
    <w:lvl w:ilvl="7" w:tplc="04090019">
      <w:start w:val="1"/>
      <w:numFmt w:val="lowerLetter"/>
      <w:lvlText w:val="%8."/>
      <w:lvlJc w:val="left"/>
      <w:pPr>
        <w:ind w:left="5768" w:hanging="360"/>
      </w:pPr>
    </w:lvl>
    <w:lvl w:ilvl="8" w:tplc="0409001B">
      <w:start w:val="1"/>
      <w:numFmt w:val="lowerRoman"/>
      <w:lvlText w:val="%9."/>
      <w:lvlJc w:val="right"/>
      <w:pPr>
        <w:ind w:left="6488"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073A"/>
    <w:rsid w:val="000529D2"/>
    <w:rsid w:val="000564AB"/>
    <w:rsid w:val="00064FBD"/>
    <w:rsid w:val="00071FD4"/>
    <w:rsid w:val="00082AB2"/>
    <w:rsid w:val="000906FE"/>
    <w:rsid w:val="00093C9D"/>
    <w:rsid w:val="0009572A"/>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479BC"/>
    <w:rsid w:val="00153A7E"/>
    <w:rsid w:val="00160743"/>
    <w:rsid w:val="00160B63"/>
    <w:rsid w:val="00180519"/>
    <w:rsid w:val="001850FC"/>
    <w:rsid w:val="00191C82"/>
    <w:rsid w:val="001A520D"/>
    <w:rsid w:val="001C4003"/>
    <w:rsid w:val="001C7689"/>
    <w:rsid w:val="001D4DBF"/>
    <w:rsid w:val="001E75CA"/>
    <w:rsid w:val="001F7C7E"/>
    <w:rsid w:val="00217426"/>
    <w:rsid w:val="002265FF"/>
    <w:rsid w:val="00243403"/>
    <w:rsid w:val="0025080B"/>
    <w:rsid w:val="00251B36"/>
    <w:rsid w:val="00271B56"/>
    <w:rsid w:val="00272E32"/>
    <w:rsid w:val="00273EFF"/>
    <w:rsid w:val="002778C6"/>
    <w:rsid w:val="002A5E2E"/>
    <w:rsid w:val="002C344E"/>
    <w:rsid w:val="002E75E9"/>
    <w:rsid w:val="002F0B1E"/>
    <w:rsid w:val="00307A6A"/>
    <w:rsid w:val="00307C40"/>
    <w:rsid w:val="00320433"/>
    <w:rsid w:val="003230C7"/>
    <w:rsid w:val="00327E50"/>
    <w:rsid w:val="0033597A"/>
    <w:rsid w:val="00343D89"/>
    <w:rsid w:val="00362612"/>
    <w:rsid w:val="00363585"/>
    <w:rsid w:val="0036499F"/>
    <w:rsid w:val="0036743F"/>
    <w:rsid w:val="003715DD"/>
    <w:rsid w:val="0037373F"/>
    <w:rsid w:val="003823E0"/>
    <w:rsid w:val="00384292"/>
    <w:rsid w:val="003A1313"/>
    <w:rsid w:val="003A4521"/>
    <w:rsid w:val="003B2775"/>
    <w:rsid w:val="003C4DC9"/>
    <w:rsid w:val="003D1C8C"/>
    <w:rsid w:val="003E38C7"/>
    <w:rsid w:val="0040096C"/>
    <w:rsid w:val="004053D8"/>
    <w:rsid w:val="00413841"/>
    <w:rsid w:val="00414F1F"/>
    <w:rsid w:val="0043125D"/>
    <w:rsid w:val="0043502B"/>
    <w:rsid w:val="00442D82"/>
    <w:rsid w:val="004443AC"/>
    <w:rsid w:val="00444B02"/>
    <w:rsid w:val="00446F2E"/>
    <w:rsid w:val="00451E28"/>
    <w:rsid w:val="00454D73"/>
    <w:rsid w:val="00462C62"/>
    <w:rsid w:val="00465D36"/>
    <w:rsid w:val="004A24AC"/>
    <w:rsid w:val="004C17EE"/>
    <w:rsid w:val="004C4BDF"/>
    <w:rsid w:val="004D1187"/>
    <w:rsid w:val="004D24A1"/>
    <w:rsid w:val="004D3AA0"/>
    <w:rsid w:val="004E1987"/>
    <w:rsid w:val="004E2E15"/>
    <w:rsid w:val="004E4922"/>
    <w:rsid w:val="004E5522"/>
    <w:rsid w:val="004E6E3C"/>
    <w:rsid w:val="004F6EC6"/>
    <w:rsid w:val="00512738"/>
    <w:rsid w:val="00520898"/>
    <w:rsid w:val="00523621"/>
    <w:rsid w:val="00524986"/>
    <w:rsid w:val="005268F6"/>
    <w:rsid w:val="00534284"/>
    <w:rsid w:val="00541BF1"/>
    <w:rsid w:val="00547DB7"/>
    <w:rsid w:val="00557717"/>
    <w:rsid w:val="00576A86"/>
    <w:rsid w:val="005B5B6B"/>
    <w:rsid w:val="005F1D0D"/>
    <w:rsid w:val="005F4F09"/>
    <w:rsid w:val="00603F73"/>
    <w:rsid w:val="00610892"/>
    <w:rsid w:val="0061431B"/>
    <w:rsid w:val="00622BAA"/>
    <w:rsid w:val="006306CF"/>
    <w:rsid w:val="00637B88"/>
    <w:rsid w:val="00644E9A"/>
    <w:rsid w:val="00671BD5"/>
    <w:rsid w:val="006805C1"/>
    <w:rsid w:val="00686C21"/>
    <w:rsid w:val="006931C1"/>
    <w:rsid w:val="00694556"/>
    <w:rsid w:val="006A1CE4"/>
    <w:rsid w:val="006A4973"/>
    <w:rsid w:val="006A6008"/>
    <w:rsid w:val="006C0F72"/>
    <w:rsid w:val="006C30C5"/>
    <w:rsid w:val="006D1C41"/>
    <w:rsid w:val="006D3B31"/>
    <w:rsid w:val="006E0D96"/>
    <w:rsid w:val="006E1A53"/>
    <w:rsid w:val="006F56E6"/>
    <w:rsid w:val="00704EDA"/>
    <w:rsid w:val="00721122"/>
    <w:rsid w:val="00734689"/>
    <w:rsid w:val="007351F7"/>
    <w:rsid w:val="007436E1"/>
    <w:rsid w:val="00753019"/>
    <w:rsid w:val="00754801"/>
    <w:rsid w:val="00761441"/>
    <w:rsid w:val="00795365"/>
    <w:rsid w:val="00795720"/>
    <w:rsid w:val="007A351D"/>
    <w:rsid w:val="007B7765"/>
    <w:rsid w:val="007C2453"/>
    <w:rsid w:val="007C5BDD"/>
    <w:rsid w:val="007D45E3"/>
    <w:rsid w:val="007E6115"/>
    <w:rsid w:val="007F4609"/>
    <w:rsid w:val="007F53B5"/>
    <w:rsid w:val="00805EFF"/>
    <w:rsid w:val="00814468"/>
    <w:rsid w:val="008176A1"/>
    <w:rsid w:val="00820005"/>
    <w:rsid w:val="00830DEB"/>
    <w:rsid w:val="00844318"/>
    <w:rsid w:val="00860102"/>
    <w:rsid w:val="00863F5D"/>
    <w:rsid w:val="00870890"/>
    <w:rsid w:val="00873602"/>
    <w:rsid w:val="00875D12"/>
    <w:rsid w:val="00876170"/>
    <w:rsid w:val="0088479D"/>
    <w:rsid w:val="00891F42"/>
    <w:rsid w:val="008959BC"/>
    <w:rsid w:val="00896889"/>
    <w:rsid w:val="008A6E97"/>
    <w:rsid w:val="008C5714"/>
    <w:rsid w:val="008C79CA"/>
    <w:rsid w:val="008D10B2"/>
    <w:rsid w:val="008E465E"/>
    <w:rsid w:val="00903896"/>
    <w:rsid w:val="00906F3D"/>
    <w:rsid w:val="009217C4"/>
    <w:rsid w:val="0094424E"/>
    <w:rsid w:val="00955642"/>
    <w:rsid w:val="009622DF"/>
    <w:rsid w:val="0096493F"/>
    <w:rsid w:val="00967DFF"/>
    <w:rsid w:val="00975805"/>
    <w:rsid w:val="0098226E"/>
    <w:rsid w:val="00987495"/>
    <w:rsid w:val="00992A12"/>
    <w:rsid w:val="00994341"/>
    <w:rsid w:val="009A16E8"/>
    <w:rsid w:val="009A4707"/>
    <w:rsid w:val="009C770B"/>
    <w:rsid w:val="009D1A48"/>
    <w:rsid w:val="009E1CE7"/>
    <w:rsid w:val="009E461A"/>
    <w:rsid w:val="009E4EA5"/>
    <w:rsid w:val="009F164B"/>
    <w:rsid w:val="009F323C"/>
    <w:rsid w:val="00A3392B"/>
    <w:rsid w:val="00A41FC8"/>
    <w:rsid w:val="00A46717"/>
    <w:rsid w:val="00A6640A"/>
    <w:rsid w:val="00A85E34"/>
    <w:rsid w:val="00A9144F"/>
    <w:rsid w:val="00A94B64"/>
    <w:rsid w:val="00A974F3"/>
    <w:rsid w:val="00AA3229"/>
    <w:rsid w:val="00AA7596"/>
    <w:rsid w:val="00AB00C7"/>
    <w:rsid w:val="00AB077B"/>
    <w:rsid w:val="00AB3AE3"/>
    <w:rsid w:val="00AB5E52"/>
    <w:rsid w:val="00AC3B02"/>
    <w:rsid w:val="00AC3B7B"/>
    <w:rsid w:val="00AC5209"/>
    <w:rsid w:val="00AD5A42"/>
    <w:rsid w:val="00AE0E34"/>
    <w:rsid w:val="00AE6A9F"/>
    <w:rsid w:val="00AE729E"/>
    <w:rsid w:val="00AE7752"/>
    <w:rsid w:val="00AF6B06"/>
    <w:rsid w:val="00AF7FDA"/>
    <w:rsid w:val="00B00DEC"/>
    <w:rsid w:val="00B375D7"/>
    <w:rsid w:val="00B37E2B"/>
    <w:rsid w:val="00B5356E"/>
    <w:rsid w:val="00B60D1C"/>
    <w:rsid w:val="00B809AD"/>
    <w:rsid w:val="00B80CBD"/>
    <w:rsid w:val="00B859C5"/>
    <w:rsid w:val="00B86096"/>
    <w:rsid w:val="00B964D9"/>
    <w:rsid w:val="00BA0A7C"/>
    <w:rsid w:val="00BA517C"/>
    <w:rsid w:val="00BB3D05"/>
    <w:rsid w:val="00BB53D3"/>
    <w:rsid w:val="00BB73BE"/>
    <w:rsid w:val="00BC118A"/>
    <w:rsid w:val="00BC2D89"/>
    <w:rsid w:val="00BD5A62"/>
    <w:rsid w:val="00BD6531"/>
    <w:rsid w:val="00BE05B2"/>
    <w:rsid w:val="00BF1908"/>
    <w:rsid w:val="00C16B0F"/>
    <w:rsid w:val="00C22D93"/>
    <w:rsid w:val="00C22EED"/>
    <w:rsid w:val="00C23458"/>
    <w:rsid w:val="00C23AC9"/>
    <w:rsid w:val="00C31120"/>
    <w:rsid w:val="00C34482"/>
    <w:rsid w:val="00C43648"/>
    <w:rsid w:val="00C46403"/>
    <w:rsid w:val="00C50A9F"/>
    <w:rsid w:val="00C629AD"/>
    <w:rsid w:val="00C642FA"/>
    <w:rsid w:val="00C653B4"/>
    <w:rsid w:val="00C770E3"/>
    <w:rsid w:val="00CB204D"/>
    <w:rsid w:val="00CC36EA"/>
    <w:rsid w:val="00CC7622"/>
    <w:rsid w:val="00CD5A34"/>
    <w:rsid w:val="00CD608F"/>
    <w:rsid w:val="00CF016D"/>
    <w:rsid w:val="00CF0316"/>
    <w:rsid w:val="00CF6BB7"/>
    <w:rsid w:val="00D0108C"/>
    <w:rsid w:val="00D04AA4"/>
    <w:rsid w:val="00D10981"/>
    <w:rsid w:val="00D27982"/>
    <w:rsid w:val="00D33B86"/>
    <w:rsid w:val="00D36F52"/>
    <w:rsid w:val="00D44968"/>
    <w:rsid w:val="00D53924"/>
    <w:rsid w:val="00D55D0C"/>
    <w:rsid w:val="00D62CA2"/>
    <w:rsid w:val="00D66F76"/>
    <w:rsid w:val="00D81CB7"/>
    <w:rsid w:val="00D82A57"/>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67419"/>
    <w:rsid w:val="00E80CBE"/>
    <w:rsid w:val="00E9269D"/>
    <w:rsid w:val="00E9344B"/>
    <w:rsid w:val="00E962E3"/>
    <w:rsid w:val="00EA6179"/>
    <w:rsid w:val="00EB6C79"/>
    <w:rsid w:val="00EC1F21"/>
    <w:rsid w:val="00EC37E9"/>
    <w:rsid w:val="00F038D8"/>
    <w:rsid w:val="00F06995"/>
    <w:rsid w:val="00F12D66"/>
    <w:rsid w:val="00F13623"/>
    <w:rsid w:val="00F44D1D"/>
    <w:rsid w:val="00F517B6"/>
    <w:rsid w:val="00F5469B"/>
    <w:rsid w:val="00F54B84"/>
    <w:rsid w:val="00F84B6D"/>
    <w:rsid w:val="00F957E8"/>
    <w:rsid w:val="00FA311A"/>
    <w:rsid w:val="00FA5FDA"/>
    <w:rsid w:val="00FB6AB3"/>
    <w:rsid w:val="00FD1419"/>
    <w:rsid w:val="00FD79E4"/>
    <w:rsid w:val="00FE1957"/>
    <w:rsid w:val="00FE2894"/>
    <w:rsid w:val="00FE448E"/>
    <w:rsid w:val="00FF3931"/>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F54B84"/>
    <w:pPr>
      <w:ind w:left="720"/>
      <w:contextualSpacing/>
    </w:pPr>
  </w:style>
  <w:style w:type="character" w:styleId="Hyperlink">
    <w:name w:val="Hyperlink"/>
    <w:basedOn w:val="a0"/>
    <w:uiPriority w:val="99"/>
    <w:unhideWhenUsed/>
    <w:rsid w:val="00F54B84"/>
    <w:rPr>
      <w:color w:val="0000FF"/>
      <w:u w:val="single"/>
    </w:rPr>
  </w:style>
  <w:style w:type="character" w:styleId="FollowedHyperlink">
    <w:name w:val="FollowedHyperlink"/>
    <w:basedOn w:val="a0"/>
    <w:semiHidden/>
    <w:unhideWhenUsed/>
    <w:rsid w:val="00C4640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759974">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9546353">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1021732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27997107" TargetMode="External"/><Relationship Id="rId13" Type="http://schemas.openxmlformats.org/officeDocument/2006/relationships/hyperlink" Target="http://www.nevo.co.il/case/24202515"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evo.co.il/case/609874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26746032" TargetMode="Externa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nevo.co.il/case/26017367"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nevo.co.il/law/74248" TargetMode="External"/><Relationship Id="rId14" Type="http://schemas.openxmlformats.org/officeDocument/2006/relationships/image" Target="media/image1.jpg"/><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315AB" w:rsidP="005315AB">
          <w:pPr>
            <w:pStyle w:val="E460D38E05664FF79D4EFF282EF8EC9926"/>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032C7"/>
    <w:rsid w:val="002D02C4"/>
    <w:rsid w:val="00345C9D"/>
    <w:rsid w:val="0048651F"/>
    <w:rsid w:val="005157ED"/>
    <w:rsid w:val="005171E8"/>
    <w:rsid w:val="005315AB"/>
    <w:rsid w:val="00556D67"/>
    <w:rsid w:val="00793995"/>
    <w:rsid w:val="007C6F98"/>
    <w:rsid w:val="007E254A"/>
    <w:rsid w:val="00817811"/>
    <w:rsid w:val="00872BC9"/>
    <w:rsid w:val="008B4366"/>
    <w:rsid w:val="009133C7"/>
    <w:rsid w:val="009178E4"/>
    <w:rsid w:val="0092515F"/>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315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5315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2251</Words>
  <Characters>11256</Characters>
  <Application>Microsoft Office Word</Application>
  <DocSecurity>0</DocSecurity>
  <Lines>93</Lines>
  <Paragraphs>26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2023-07-11T06:29:00Z</dcterms:created>
  <dcterms:modified xsi:type="dcterms:W3CDTF">2023-07-11T06:29:00Z</dcterms:modified>
</cp:coreProperties>
</file>